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321" w:rsidRDefault="00110321">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110321" w:rsidRDefault="00110321">
      <w:pPr>
        <w:pStyle w:val="newncpi"/>
        <w:ind w:firstLine="0"/>
        <w:jc w:val="center"/>
      </w:pPr>
      <w:r>
        <w:rPr>
          <w:rStyle w:val="datepr"/>
        </w:rPr>
        <w:t>9 июля 2013 г.</w:t>
      </w:r>
      <w:r>
        <w:rPr>
          <w:rStyle w:val="number"/>
        </w:rPr>
        <w:t xml:space="preserve"> № 603</w:t>
      </w:r>
    </w:p>
    <w:p w:rsidR="00110321" w:rsidRDefault="00110321">
      <w:pPr>
        <w:pStyle w:val="title"/>
      </w:pPr>
      <w:r>
        <w:t>Об утверждении Положения о порядке производства и размещения (распространения) социальной рекламы, состава Межведомственного совета по рекламе и внесении изменений и дополнений в некоторые постановления Совета Министров Республики Беларусь по вопросам рекламы</w:t>
      </w:r>
    </w:p>
    <w:p w:rsidR="00110321" w:rsidRDefault="00110321">
      <w:pPr>
        <w:pStyle w:val="changei"/>
      </w:pPr>
      <w:r>
        <w:t>Изменения и дополнения:</w:t>
      </w:r>
    </w:p>
    <w:p w:rsidR="00110321" w:rsidRDefault="00110321">
      <w:pPr>
        <w:pStyle w:val="changeadd"/>
      </w:pPr>
      <w:r>
        <w:t>Постановление Совета Министров Республики Беларусь от 16 декабря 2016 г. № 1033 (Национальный правовой Интернет-портал Республики Беларусь, 21.12.2016, 5/43069) &lt;C21601033&gt;;</w:t>
      </w:r>
    </w:p>
    <w:p w:rsidR="00110321" w:rsidRDefault="00110321">
      <w:pPr>
        <w:pStyle w:val="changeadd"/>
      </w:pPr>
      <w:r>
        <w:t>Постановление Совета Министров Республики Беларусь от 12 января 2017 г. № 22 (Национальный правовой Интернет-портал Республики Беларусь, 22.01.2017, 5/43213) &lt;C21700022&gt;;</w:t>
      </w:r>
    </w:p>
    <w:p w:rsidR="00110321" w:rsidRDefault="00110321">
      <w:pPr>
        <w:pStyle w:val="changeadd"/>
      </w:pPr>
      <w:r>
        <w:t>Постановление Совета Министров Республики Беларусь от 3 июня 2020 г. № 330 (Национальный правовой Интернет-портал Республики Беларусь, 06.06.2020, 5/48115) &lt;C22000330&gt;;</w:t>
      </w:r>
    </w:p>
    <w:p w:rsidR="00110321" w:rsidRDefault="00110321">
      <w:pPr>
        <w:pStyle w:val="changeadd"/>
      </w:pPr>
      <w:r>
        <w:t>Постановление Совета Министров Республики Беларусь от 7 июля 2021 г. № 395 (Национальный правовой Интернет-портал Республики Беларусь, 09.07.2021, 5/49239) &lt;C22100395&gt;</w:t>
      </w:r>
    </w:p>
    <w:p w:rsidR="00110321" w:rsidRDefault="00110321">
      <w:pPr>
        <w:pStyle w:val="newncpi"/>
      </w:pPr>
      <w:r>
        <w:t> </w:t>
      </w:r>
    </w:p>
    <w:p w:rsidR="00110321" w:rsidRDefault="00110321">
      <w:pPr>
        <w:pStyle w:val="preamble"/>
      </w:pPr>
      <w:r>
        <w:t>В соответствии с абзацем вторым статьи 3 Закона Республики Беларусь от 3 января 2013 года «О внесении изменений и дополнений в некоторые законы Республики Беларусь по вопросам рекламы» Совет Министров Республики Беларусь ПОСТАНОВЛЯЕТ:</w:t>
      </w:r>
    </w:p>
    <w:p w:rsidR="00110321" w:rsidRDefault="00110321">
      <w:pPr>
        <w:pStyle w:val="point"/>
      </w:pPr>
      <w:r>
        <w:t>1. Утвердить прилагаемые:</w:t>
      </w:r>
    </w:p>
    <w:p w:rsidR="00110321" w:rsidRDefault="00110321">
      <w:pPr>
        <w:pStyle w:val="newncpi"/>
      </w:pPr>
      <w:r>
        <w:t>Положение о порядке производства и размещения (распространения) социальной рекламы;</w:t>
      </w:r>
    </w:p>
    <w:p w:rsidR="00110321" w:rsidRDefault="00110321">
      <w:pPr>
        <w:pStyle w:val="newncpi"/>
      </w:pPr>
      <w:r>
        <w:t>состав Межведомственного совета по рекламе.</w:t>
      </w:r>
    </w:p>
    <w:p w:rsidR="00110321" w:rsidRDefault="00110321">
      <w:pPr>
        <w:pStyle w:val="point"/>
      </w:pPr>
      <w:r>
        <w:t>2. Внести изменения и дополнения в следующие постановления Совета Министров Республики Беларусь:</w:t>
      </w:r>
    </w:p>
    <w:p w:rsidR="00110321" w:rsidRDefault="00110321">
      <w:pPr>
        <w:pStyle w:val="underpoint"/>
      </w:pPr>
      <w:r>
        <w:t>2.1. в постановлении Совета Министров Республики Беларусь от 25 марта 1998 г. № 460 «О Межведомственном совете по рекламе» (Национальный реестр правовых актов Республики Беларусь, 2002 г., № 32, 5/10103; 2006 г., № 146, 5/22839):</w:t>
      </w:r>
    </w:p>
    <w:p w:rsidR="00110321" w:rsidRDefault="00110321">
      <w:pPr>
        <w:pStyle w:val="underpoint"/>
      </w:pPr>
      <w:r>
        <w:t>2.1.1. часть вторую пункта 1 исключить;</w:t>
      </w:r>
    </w:p>
    <w:p w:rsidR="00110321" w:rsidRDefault="00110321">
      <w:pPr>
        <w:pStyle w:val="underpoint"/>
      </w:pPr>
      <w:r>
        <w:t>2.1.2. в пункте 4 слова «организационно-техническое обеспечение» заменить словами «организационное и информационное обеспечение работы»;</w:t>
      </w:r>
    </w:p>
    <w:p w:rsidR="00110321" w:rsidRDefault="00110321">
      <w:pPr>
        <w:pStyle w:val="underpoint"/>
      </w:pPr>
      <w:r>
        <w:t>2.1.3. Положение о Межведомственном совете по рекламе, утвержденное этим постановлением, изложить в новой редакции (прилагается);</w:t>
      </w:r>
    </w:p>
    <w:p w:rsidR="00110321" w:rsidRDefault="00110321">
      <w:pPr>
        <w:pStyle w:val="underpoint"/>
      </w:pPr>
      <w:r>
        <w:t>2.2. исключен;</w:t>
      </w:r>
    </w:p>
    <w:p w:rsidR="00110321" w:rsidRDefault="00110321">
      <w:pPr>
        <w:rPr>
          <w:rFonts w:eastAsia="Times New Roman"/>
        </w:rPr>
        <w:sectPr w:rsidR="00110321" w:rsidSect="00110321">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pPr>
    </w:p>
    <w:p w:rsidR="00110321" w:rsidRDefault="00110321">
      <w:pPr>
        <w:pStyle w:val="underpoint"/>
      </w:pPr>
      <w:r>
        <w:t>2.3. в едином перечне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утвержденном постановлением Совета Министров Республики Беларусь от 17 февраля 2012 г. № 156 «Об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 193 и признании утратившими силу некоторых постановлений Совета Министров Республики Беларусь» (Национальный реестр правовых актов Республики Беларусь, 2012 г., № 35, 5/35330; Национальный правовой Интернет-портал Республики Беларусь, 16.04.2013, 5/37100):</w:t>
      </w:r>
    </w:p>
    <w:p w:rsidR="00110321" w:rsidRDefault="00110321">
      <w:pPr>
        <w:pStyle w:val="underpoint"/>
      </w:pPr>
      <w:r>
        <w:t>2.3.1. в пункте 5.6:</w:t>
      </w:r>
    </w:p>
    <w:p w:rsidR="00110321" w:rsidRDefault="00110321">
      <w:pPr>
        <w:pStyle w:val="newncpi"/>
      </w:pPr>
      <w:r>
        <w:t>в графе «Наименование административной процедуры» слова «населенных пунктов, а также в контролируемой зоне» заменить словами «, дорог и площадей населенных пунктов, а также в придорожной полосе (контролируемой зоне)»;</w:t>
      </w:r>
    </w:p>
    <w:p w:rsidR="00110321" w:rsidRDefault="00110321">
      <w:pPr>
        <w:pStyle w:val="newncpi"/>
      </w:pPr>
      <w:r>
        <w:t>графу «Орган, уполномоченный на осуществление административной процедуры» дополнить словами «, ГАИ РУВД, ГАИ ГОВД, ГАИ РОВД»;</w:t>
      </w:r>
    </w:p>
    <w:p w:rsidR="00110321" w:rsidRDefault="00110321">
      <w:pPr>
        <w:pStyle w:val="underpoint"/>
      </w:pPr>
      <w:r>
        <w:t xml:space="preserve">2.3.2. пункт 5.7 изложить в следующей редакции: </w:t>
      </w:r>
    </w:p>
    <w:p w:rsidR="00110321" w:rsidRDefault="00110321">
      <w:pPr>
        <w:pStyle w:val="newncpi"/>
      </w:pPr>
      <w:r>
        <w:t> </w:t>
      </w:r>
    </w:p>
    <w:p w:rsidR="00110321" w:rsidRDefault="00110321">
      <w:pPr>
        <w:rPr>
          <w:rFonts w:eastAsia="Times New Roman"/>
        </w:rPr>
        <w:sectPr w:rsidR="00110321" w:rsidSect="00110321">
          <w:pgSz w:w="11906" w:h="16840"/>
          <w:pgMar w:top="567" w:right="1134" w:bottom="567" w:left="1417" w:header="280" w:footer="0" w:gutter="0"/>
          <w:cols w:space="720"/>
          <w:docGrid w:linePitch="381"/>
        </w:sectPr>
      </w:pPr>
    </w:p>
    <w:p w:rsidR="00110321" w:rsidRDefault="00110321">
      <w:pPr>
        <w:pStyle w:val="newncpi"/>
      </w:pPr>
      <w:r>
        <w:t> </w:t>
      </w:r>
    </w:p>
    <w:tbl>
      <w:tblPr>
        <w:tblW w:w="5000" w:type="pct"/>
        <w:tblInd w:w="-6" w:type="dxa"/>
        <w:tblCellMar>
          <w:left w:w="0" w:type="dxa"/>
          <w:right w:w="0" w:type="dxa"/>
        </w:tblCellMar>
        <w:tblLook w:val="04A0" w:firstRow="1" w:lastRow="0" w:firstColumn="1" w:lastColumn="0" w:noHBand="0" w:noVBand="1"/>
      </w:tblPr>
      <w:tblGrid>
        <w:gridCol w:w="2493"/>
        <w:gridCol w:w="2477"/>
        <w:gridCol w:w="4037"/>
        <w:gridCol w:w="2516"/>
        <w:gridCol w:w="2415"/>
        <w:gridCol w:w="2273"/>
      </w:tblGrid>
      <w:tr w:rsidR="00110321">
        <w:trPr>
          <w:trHeight w:val="240"/>
        </w:trPr>
        <w:tc>
          <w:tcPr>
            <w:tcW w:w="769" w:type="pct"/>
            <w:tcMar>
              <w:top w:w="0" w:type="dxa"/>
              <w:left w:w="6" w:type="dxa"/>
              <w:bottom w:w="0" w:type="dxa"/>
              <w:right w:w="6" w:type="dxa"/>
            </w:tcMar>
            <w:hideMark/>
          </w:tcPr>
          <w:p w:rsidR="00110321" w:rsidRDefault="00110321">
            <w:pPr>
              <w:pStyle w:val="table10"/>
            </w:pPr>
            <w:r>
              <w:t>«5.7. Согласование рекламы на транспортном средстве</w:t>
            </w:r>
          </w:p>
        </w:tc>
        <w:tc>
          <w:tcPr>
            <w:tcW w:w="764" w:type="pct"/>
            <w:tcMar>
              <w:top w:w="0" w:type="dxa"/>
              <w:left w:w="6" w:type="dxa"/>
              <w:bottom w:w="0" w:type="dxa"/>
              <w:right w:w="6" w:type="dxa"/>
            </w:tcMar>
            <w:hideMark/>
          </w:tcPr>
          <w:p w:rsidR="00110321" w:rsidRDefault="00110321">
            <w:pPr>
              <w:pStyle w:val="table10"/>
            </w:pPr>
            <w:r>
              <w:t>УГАИ ГУВД, УГАИ УВД</w:t>
            </w:r>
          </w:p>
        </w:tc>
        <w:tc>
          <w:tcPr>
            <w:tcW w:w="1245" w:type="pct"/>
            <w:tcMar>
              <w:top w:w="0" w:type="dxa"/>
              <w:left w:w="6" w:type="dxa"/>
              <w:bottom w:w="0" w:type="dxa"/>
              <w:right w:w="6" w:type="dxa"/>
            </w:tcMar>
            <w:hideMark/>
          </w:tcPr>
          <w:p w:rsidR="00110321" w:rsidRDefault="00110321">
            <w:pPr>
              <w:pStyle w:val="table10"/>
            </w:pPr>
            <w:r>
              <w:t>макет рекламы на транспортном средстве в трех экземплярах на бумажном носителе в формате А4, выполненный в цвете</w:t>
            </w:r>
            <w:r>
              <w:br/>
            </w:r>
            <w:r>
              <w:br/>
              <w:t>фотография транспортного средства с обозначением места размещения рекламы</w:t>
            </w:r>
          </w:p>
        </w:tc>
        <w:tc>
          <w:tcPr>
            <w:tcW w:w="776" w:type="pct"/>
            <w:tcMar>
              <w:top w:w="0" w:type="dxa"/>
              <w:left w:w="6" w:type="dxa"/>
              <w:bottom w:w="0" w:type="dxa"/>
              <w:right w:w="6" w:type="dxa"/>
            </w:tcMar>
            <w:hideMark/>
          </w:tcPr>
          <w:p w:rsidR="00110321" w:rsidRDefault="00110321">
            <w:pPr>
              <w:pStyle w:val="table10"/>
            </w:pPr>
            <w:r>
              <w:t>10 дней</w:t>
            </w:r>
          </w:p>
        </w:tc>
        <w:tc>
          <w:tcPr>
            <w:tcW w:w="745" w:type="pct"/>
            <w:tcMar>
              <w:top w:w="0" w:type="dxa"/>
              <w:left w:w="6" w:type="dxa"/>
              <w:bottom w:w="0" w:type="dxa"/>
              <w:right w:w="6" w:type="dxa"/>
            </w:tcMar>
            <w:hideMark/>
          </w:tcPr>
          <w:p w:rsidR="00110321" w:rsidRDefault="00110321">
            <w:pPr>
              <w:pStyle w:val="table10"/>
            </w:pPr>
            <w:r>
              <w:t>на период размещения (распространения) рекламы</w:t>
            </w:r>
          </w:p>
        </w:tc>
        <w:tc>
          <w:tcPr>
            <w:tcW w:w="701" w:type="pct"/>
            <w:tcMar>
              <w:top w:w="0" w:type="dxa"/>
              <w:left w:w="6" w:type="dxa"/>
              <w:bottom w:w="0" w:type="dxa"/>
              <w:right w:w="6" w:type="dxa"/>
            </w:tcMar>
            <w:hideMark/>
          </w:tcPr>
          <w:p w:rsidR="00110321" w:rsidRDefault="00110321">
            <w:pPr>
              <w:pStyle w:val="table10"/>
            </w:pPr>
            <w:r>
              <w:t>бесплатно»;</w:t>
            </w:r>
          </w:p>
        </w:tc>
      </w:tr>
    </w:tbl>
    <w:p w:rsidR="00110321" w:rsidRDefault="00110321">
      <w:pPr>
        <w:pStyle w:val="newncpi"/>
      </w:pPr>
      <w:r>
        <w:t> </w:t>
      </w:r>
    </w:p>
    <w:p w:rsidR="00110321" w:rsidRDefault="00110321">
      <w:pPr>
        <w:pStyle w:val="underpoint"/>
      </w:pPr>
      <w:r>
        <w:t>2.3.3. пункт 7.6 исключить;</w:t>
      </w:r>
    </w:p>
    <w:p w:rsidR="00110321" w:rsidRDefault="00110321">
      <w:pPr>
        <w:pStyle w:val="underpoint"/>
      </w:pPr>
      <w:r>
        <w:t>2.3.4. в пункте 9.11:</w:t>
      </w:r>
    </w:p>
    <w:p w:rsidR="00110321" w:rsidRDefault="00110321">
      <w:pPr>
        <w:pStyle w:val="underpoint"/>
      </w:pPr>
      <w:r>
        <w:t>2.3.4.1. графу «Наименование административной процедуры» изложить в следующей редакции:</w:t>
      </w:r>
    </w:p>
    <w:p w:rsidR="00110321" w:rsidRDefault="00110321">
      <w:pPr>
        <w:pStyle w:val="underpoint"/>
      </w:pPr>
      <w:r>
        <w:rPr>
          <w:rStyle w:val="rednoun"/>
        </w:rPr>
        <w:t>«</w:t>
      </w:r>
      <w:r>
        <w:t>9.11. Выдача и продление действия разрешения на размещение средства наружной рекламы</w:t>
      </w:r>
      <w:r>
        <w:rPr>
          <w:rStyle w:val="rednoun"/>
        </w:rPr>
        <w:t>»</w:t>
      </w:r>
      <w:r>
        <w:t>;</w:t>
      </w:r>
    </w:p>
    <w:p w:rsidR="00110321" w:rsidRDefault="00110321">
      <w:pPr>
        <w:pStyle w:val="underpoint"/>
      </w:pPr>
      <w:r>
        <w:t xml:space="preserve">2.3.4.2. подпункты 9.11.1 и 9.11.2 изложить в следующей редакции: </w:t>
      </w:r>
    </w:p>
    <w:p w:rsidR="00110321" w:rsidRDefault="00110321">
      <w:pPr>
        <w:pStyle w:val="newncpi"/>
      </w:pPr>
      <w:r>
        <w:t> </w:t>
      </w:r>
    </w:p>
    <w:tbl>
      <w:tblPr>
        <w:tblW w:w="5000" w:type="pct"/>
        <w:tblInd w:w="-6" w:type="dxa"/>
        <w:tblCellMar>
          <w:left w:w="0" w:type="dxa"/>
          <w:right w:w="0" w:type="dxa"/>
        </w:tblCellMar>
        <w:tblLook w:val="04A0" w:firstRow="1" w:lastRow="0" w:firstColumn="1" w:lastColumn="0" w:noHBand="0" w:noVBand="1"/>
      </w:tblPr>
      <w:tblGrid>
        <w:gridCol w:w="2493"/>
        <w:gridCol w:w="2477"/>
        <w:gridCol w:w="4037"/>
        <w:gridCol w:w="2516"/>
        <w:gridCol w:w="2415"/>
        <w:gridCol w:w="2273"/>
      </w:tblGrid>
      <w:tr w:rsidR="00110321">
        <w:trPr>
          <w:trHeight w:val="240"/>
        </w:trPr>
        <w:tc>
          <w:tcPr>
            <w:tcW w:w="769" w:type="pct"/>
            <w:tcMar>
              <w:top w:w="0" w:type="dxa"/>
              <w:left w:w="6" w:type="dxa"/>
              <w:bottom w:w="0" w:type="dxa"/>
              <w:right w:w="6" w:type="dxa"/>
            </w:tcMar>
            <w:hideMark/>
          </w:tcPr>
          <w:p w:rsidR="00110321" w:rsidRDefault="00110321">
            <w:pPr>
              <w:pStyle w:val="table10"/>
            </w:pPr>
            <w:r>
              <w:t>«9.11.1. выдача разрешения на размещение средства наружной рекламы</w:t>
            </w:r>
          </w:p>
        </w:tc>
        <w:tc>
          <w:tcPr>
            <w:tcW w:w="764" w:type="pct"/>
            <w:tcMar>
              <w:top w:w="0" w:type="dxa"/>
              <w:left w:w="6" w:type="dxa"/>
              <w:bottom w:w="0" w:type="dxa"/>
              <w:right w:w="6" w:type="dxa"/>
            </w:tcMar>
            <w:hideMark/>
          </w:tcPr>
          <w:p w:rsidR="00110321" w:rsidRDefault="00110321">
            <w:pPr>
              <w:pStyle w:val="table10"/>
            </w:pPr>
            <w:r>
              <w:t>Минский городской, городской (города областного подчинения), районный исполнительный комитет</w:t>
            </w:r>
          </w:p>
        </w:tc>
        <w:tc>
          <w:tcPr>
            <w:tcW w:w="1245" w:type="pct"/>
            <w:tcMar>
              <w:top w:w="0" w:type="dxa"/>
              <w:left w:w="6" w:type="dxa"/>
              <w:bottom w:w="0" w:type="dxa"/>
              <w:right w:w="6" w:type="dxa"/>
            </w:tcMar>
            <w:hideMark/>
          </w:tcPr>
          <w:p w:rsidR="00110321" w:rsidRDefault="00110321">
            <w:pPr>
              <w:pStyle w:val="table10"/>
              <w:spacing w:after="60"/>
            </w:pPr>
            <w:r>
              <w:t>заявление</w:t>
            </w:r>
            <w:r>
              <w:br/>
            </w:r>
            <w:r>
              <w:br/>
              <w:t>эскиз средства наружной рекламы в увязке с конкретной архитектурно-планировочной ситуацией по месту его размещения, выполненный на бумажном носителе в цвете</w:t>
            </w:r>
            <w:r>
              <w:br/>
            </w:r>
            <w:r>
              <w:br/>
              <w:t>три фотографии места размещения средства наружной рекламы размером 9 x 13 сантиметров (1 фотография с панорамной съемкой места размещения средства наружной рекламы, 2 фотографии с обозначением места размещения средства наружной рекламы), выполненные в цвете</w:t>
            </w:r>
            <w:r>
              <w:br/>
            </w:r>
            <w:r>
              <w:br/>
              <w:t xml:space="preserve">письмо или иной документ о согласии собственника места размещения средства наружной рекламы (далее – собственник) или уполномоченного лица на размещение средства наружной рекламы – если место размещения средства наружной рекламы находится в республиканской или частной собственности, за исключением случая, когда собственник (уполномоченное лицо) и </w:t>
            </w:r>
            <w:proofErr w:type="spellStart"/>
            <w:r>
              <w:t>рекламораспространитель</w:t>
            </w:r>
            <w:proofErr w:type="spellEnd"/>
            <w:r>
              <w:t xml:space="preserve"> являются одним лицом. При размещении средства наружной рекламы на имуществе, находящемся в совместной собственности нескольких лиц, – документы, подтверждающие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или письменного опроса собственников, иной предусмотренный законодательством документ)</w:t>
            </w:r>
            <w:r>
              <w:rPr>
                <w:vertAlign w:val="superscript"/>
              </w:rPr>
              <w:t>2</w:t>
            </w:r>
            <w:r>
              <w:br/>
            </w:r>
            <w:r>
              <w:br/>
              <w:t>макет наружной рекламы (при наличии) на бумажном носителе в формате А4, выполненный в цвете, или на электронном носителе при размещении (распространении) такой рекламы на электронном табло</w:t>
            </w:r>
            <w:r>
              <w:br/>
            </w:r>
            <w:r>
              <w:br/>
              <w:t xml:space="preserve">копия документа, подтверждающего государственную регистрацию </w:t>
            </w:r>
            <w:proofErr w:type="spellStart"/>
            <w:r>
              <w:t>рекламораспространителя</w:t>
            </w:r>
            <w:proofErr w:type="spellEnd"/>
            <w:r>
              <w:t xml:space="preserve"> (при первой подаче такого документа в соответствующий исполком)</w:t>
            </w:r>
            <w:r>
              <w:rPr>
                <w:vertAlign w:val="superscript"/>
              </w:rPr>
              <w:t>2</w:t>
            </w:r>
            <w:r>
              <w:br/>
            </w:r>
            <w:r>
              <w:br/>
              <w:t>документ, подтверждающий внесение платы за оформление паспорта средства наружной рекламы, за исключением случая оформления такого паспорта на техническое средство, специально предназначенное и (или) используемое исключительно для размещения социальной рекламы</w:t>
            </w:r>
            <w:r>
              <w:rPr>
                <w:vertAlign w:val="superscript"/>
              </w:rPr>
              <w:t>15</w:t>
            </w:r>
          </w:p>
        </w:tc>
        <w:tc>
          <w:tcPr>
            <w:tcW w:w="776" w:type="pct"/>
            <w:tcMar>
              <w:top w:w="0" w:type="dxa"/>
              <w:left w:w="6" w:type="dxa"/>
              <w:bottom w:w="0" w:type="dxa"/>
              <w:right w:w="6" w:type="dxa"/>
            </w:tcMar>
            <w:hideMark/>
          </w:tcPr>
          <w:p w:rsidR="00110321" w:rsidRDefault="00110321">
            <w:pPr>
              <w:pStyle w:val="table10"/>
            </w:pPr>
            <w:r>
              <w:t>30 рабочих дней</w:t>
            </w:r>
          </w:p>
        </w:tc>
        <w:tc>
          <w:tcPr>
            <w:tcW w:w="745" w:type="pct"/>
            <w:tcMar>
              <w:top w:w="0" w:type="dxa"/>
              <w:left w:w="6" w:type="dxa"/>
              <w:bottom w:w="0" w:type="dxa"/>
              <w:right w:w="6" w:type="dxa"/>
            </w:tcMar>
            <w:hideMark/>
          </w:tcPr>
          <w:p w:rsidR="00110321" w:rsidRDefault="00110321">
            <w:pPr>
              <w:pStyle w:val="table10"/>
            </w:pPr>
            <w:r>
              <w:t>не менее 5 лет на технически сложные средства наружной рекламы, объемно-пространственные рекламные конструкции</w:t>
            </w:r>
            <w:r>
              <w:br/>
            </w:r>
            <w:r>
              <w:br/>
              <w:t xml:space="preserve">не менее 3 лет на </w:t>
            </w:r>
            <w:proofErr w:type="spellStart"/>
            <w:r>
              <w:t>лайтпостеры</w:t>
            </w:r>
            <w:proofErr w:type="spellEnd"/>
            <w:r>
              <w:t xml:space="preserve"> с площадью рекламного поля до 2,16 кв. метра включительно, щиты с площадью рекламного поля до 32 кв. метров включительно, пилоны и иные средства наружной рекламы, закрепляемые на земельном участке</w:t>
            </w:r>
            <w:r>
              <w:br/>
            </w:r>
            <w:r>
              <w:br/>
              <w:t>на иные средства наружной рекламы – на срок, определяемый договором</w:t>
            </w:r>
          </w:p>
        </w:tc>
        <w:tc>
          <w:tcPr>
            <w:tcW w:w="701" w:type="pct"/>
            <w:tcMar>
              <w:top w:w="0" w:type="dxa"/>
              <w:left w:w="6" w:type="dxa"/>
              <w:bottom w:w="0" w:type="dxa"/>
              <w:right w:w="6" w:type="dxa"/>
            </w:tcMar>
            <w:hideMark/>
          </w:tcPr>
          <w:p w:rsidR="00110321" w:rsidRDefault="00110321">
            <w:pPr>
              <w:pStyle w:val="table10"/>
            </w:pPr>
            <w:r>
              <w:t>плата за услуги</w:t>
            </w:r>
          </w:p>
        </w:tc>
      </w:tr>
      <w:tr w:rsidR="00110321">
        <w:trPr>
          <w:trHeight w:val="240"/>
        </w:trPr>
        <w:tc>
          <w:tcPr>
            <w:tcW w:w="769" w:type="pct"/>
            <w:tcMar>
              <w:top w:w="0" w:type="dxa"/>
              <w:left w:w="6" w:type="dxa"/>
              <w:bottom w:w="0" w:type="dxa"/>
              <w:right w:w="6" w:type="dxa"/>
            </w:tcMar>
            <w:hideMark/>
          </w:tcPr>
          <w:p w:rsidR="00110321" w:rsidRDefault="00110321">
            <w:pPr>
              <w:pStyle w:val="table10"/>
              <w:spacing w:before="120"/>
            </w:pPr>
            <w:r>
              <w:t>9.11.2. продление действия разрешения на размещение средства наружной рекламы</w:t>
            </w:r>
          </w:p>
        </w:tc>
        <w:tc>
          <w:tcPr>
            <w:tcW w:w="764" w:type="pct"/>
            <w:tcMar>
              <w:top w:w="0" w:type="dxa"/>
              <w:left w:w="6" w:type="dxa"/>
              <w:bottom w:w="0" w:type="dxa"/>
              <w:right w:w="6" w:type="dxa"/>
            </w:tcMar>
            <w:hideMark/>
          </w:tcPr>
          <w:p w:rsidR="00110321" w:rsidRDefault="00110321">
            <w:pPr>
              <w:pStyle w:val="table10"/>
              <w:spacing w:before="120"/>
            </w:pPr>
            <w:r>
              <w:t>Минский городской, городской (города областного подчинения), районный исполнительный комитет</w:t>
            </w:r>
          </w:p>
        </w:tc>
        <w:tc>
          <w:tcPr>
            <w:tcW w:w="1245" w:type="pct"/>
            <w:tcMar>
              <w:top w:w="0" w:type="dxa"/>
              <w:left w:w="6" w:type="dxa"/>
              <w:bottom w:w="0" w:type="dxa"/>
              <w:right w:w="6" w:type="dxa"/>
            </w:tcMar>
            <w:hideMark/>
          </w:tcPr>
          <w:p w:rsidR="00110321" w:rsidRDefault="00110321">
            <w:pPr>
              <w:pStyle w:val="table10"/>
              <w:spacing w:before="120" w:after="60"/>
            </w:pPr>
            <w:r>
              <w:t>заявление</w:t>
            </w:r>
            <w:r>
              <w:br/>
            </w:r>
            <w:r>
              <w:br/>
              <w:t>ранее выданное разрешение на размещение средства наружной рекламы</w:t>
            </w:r>
            <w:r>
              <w:br/>
            </w:r>
            <w:r>
              <w:br/>
              <w:t xml:space="preserve">письмо или иной документ о согласии собственника (уполномоченного лица) на размещение средства наружной рекламы – если место размещения средства наружной рекламы находится в республиканской или частной собственности, за исключением случая, когда собственник (уполномоченное лицо) и </w:t>
            </w:r>
            <w:proofErr w:type="spellStart"/>
            <w:r>
              <w:t>рекламораспространитель</w:t>
            </w:r>
            <w:proofErr w:type="spellEnd"/>
            <w:r>
              <w:t xml:space="preserve"> являются одним лицом. При размещении средства наружной рекламы на имуществе, находящемся в совместной собственности нескольких лиц, – документы, подтверждающие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или письменного опроса собственников, иной предусмотренный законодательством документ)</w:t>
            </w:r>
            <w:r>
              <w:rPr>
                <w:vertAlign w:val="superscript"/>
              </w:rPr>
              <w:t>2</w:t>
            </w:r>
            <w:r>
              <w:br/>
            </w:r>
            <w:r>
              <w:br/>
              <w:t>документ, подтверждающий внесение платы за оформление паспорта средства наружной рекламы, за исключением случая оформления такого паспорта на техническое средство, специально предназначенное и (или) используемое исключительно для размещения социальной рекламы</w:t>
            </w:r>
            <w:r>
              <w:rPr>
                <w:vertAlign w:val="superscript"/>
              </w:rPr>
              <w:t>15</w:t>
            </w:r>
          </w:p>
        </w:tc>
        <w:tc>
          <w:tcPr>
            <w:tcW w:w="776" w:type="pct"/>
            <w:tcMar>
              <w:top w:w="0" w:type="dxa"/>
              <w:left w:w="6" w:type="dxa"/>
              <w:bottom w:w="0" w:type="dxa"/>
              <w:right w:w="6" w:type="dxa"/>
            </w:tcMar>
            <w:hideMark/>
          </w:tcPr>
          <w:p w:rsidR="00110321" w:rsidRDefault="00110321">
            <w:pPr>
              <w:pStyle w:val="table10"/>
              <w:spacing w:before="120"/>
            </w:pPr>
            <w:r>
              <w:t>15 рабочих дней</w:t>
            </w:r>
          </w:p>
        </w:tc>
        <w:tc>
          <w:tcPr>
            <w:tcW w:w="745" w:type="pct"/>
            <w:tcMar>
              <w:top w:w="0" w:type="dxa"/>
              <w:left w:w="6" w:type="dxa"/>
              <w:bottom w:w="0" w:type="dxa"/>
              <w:right w:w="6" w:type="dxa"/>
            </w:tcMar>
            <w:hideMark/>
          </w:tcPr>
          <w:p w:rsidR="00110321" w:rsidRDefault="00110321">
            <w:pPr>
              <w:pStyle w:val="table10"/>
              <w:spacing w:before="120"/>
            </w:pPr>
            <w:r>
              <w:t>не менее 5 лет на технически сложные средства наружной рекламы, объемно-пространственные рекламные конструкции</w:t>
            </w:r>
            <w:r>
              <w:br/>
            </w:r>
            <w:r>
              <w:br/>
              <w:t xml:space="preserve">не менее 3 лет на </w:t>
            </w:r>
            <w:proofErr w:type="spellStart"/>
            <w:r>
              <w:t>лайтпостеры</w:t>
            </w:r>
            <w:proofErr w:type="spellEnd"/>
            <w:r>
              <w:t xml:space="preserve"> с площадью рекламного поля до 2,16 кв. метра включительно, щиты с площадью рекламного поля до 32 кв. метров включительно, пилоны и иные средства наружной рекламы, закрепляемые на земельном участке</w:t>
            </w:r>
            <w:r>
              <w:br/>
            </w:r>
            <w:r>
              <w:br/>
              <w:t>на иные средства наружной рекламы – на срок, определяемый договором</w:t>
            </w:r>
          </w:p>
        </w:tc>
        <w:tc>
          <w:tcPr>
            <w:tcW w:w="701" w:type="pct"/>
            <w:tcMar>
              <w:top w:w="0" w:type="dxa"/>
              <w:left w:w="6" w:type="dxa"/>
              <w:bottom w:w="0" w:type="dxa"/>
              <w:right w:w="6" w:type="dxa"/>
            </w:tcMar>
            <w:hideMark/>
          </w:tcPr>
          <w:p w:rsidR="00110321" w:rsidRDefault="00110321">
            <w:pPr>
              <w:pStyle w:val="table10"/>
              <w:spacing w:before="120"/>
            </w:pPr>
            <w:r>
              <w:t xml:space="preserve">плата за услуги»; </w:t>
            </w:r>
          </w:p>
        </w:tc>
      </w:tr>
    </w:tbl>
    <w:p w:rsidR="00110321" w:rsidRDefault="00110321">
      <w:pPr>
        <w:pStyle w:val="newncpi"/>
      </w:pPr>
      <w:r>
        <w:t> </w:t>
      </w:r>
    </w:p>
    <w:p w:rsidR="00110321" w:rsidRDefault="00110321">
      <w:pPr>
        <w:pStyle w:val="underpoint"/>
      </w:pPr>
      <w:r>
        <w:t xml:space="preserve">2.3.5. пункты 9.12 и 9.13 изложить в следующей редакции: </w:t>
      </w:r>
    </w:p>
    <w:p w:rsidR="00110321" w:rsidRDefault="00110321">
      <w:pPr>
        <w:pStyle w:val="newncpi"/>
      </w:pPr>
      <w:r>
        <w:t> </w:t>
      </w:r>
    </w:p>
    <w:tbl>
      <w:tblPr>
        <w:tblW w:w="5000" w:type="pct"/>
        <w:tblInd w:w="-6" w:type="dxa"/>
        <w:tblCellMar>
          <w:left w:w="0" w:type="dxa"/>
          <w:right w:w="0" w:type="dxa"/>
        </w:tblCellMar>
        <w:tblLook w:val="04A0" w:firstRow="1" w:lastRow="0" w:firstColumn="1" w:lastColumn="0" w:noHBand="0" w:noVBand="1"/>
      </w:tblPr>
      <w:tblGrid>
        <w:gridCol w:w="2493"/>
        <w:gridCol w:w="2477"/>
        <w:gridCol w:w="4037"/>
        <w:gridCol w:w="2516"/>
        <w:gridCol w:w="2415"/>
        <w:gridCol w:w="2273"/>
      </w:tblGrid>
      <w:tr w:rsidR="00110321">
        <w:trPr>
          <w:trHeight w:val="240"/>
        </w:trPr>
        <w:tc>
          <w:tcPr>
            <w:tcW w:w="769" w:type="pct"/>
            <w:tcMar>
              <w:top w:w="0" w:type="dxa"/>
              <w:left w:w="6" w:type="dxa"/>
              <w:bottom w:w="0" w:type="dxa"/>
              <w:right w:w="6" w:type="dxa"/>
            </w:tcMar>
            <w:hideMark/>
          </w:tcPr>
          <w:p w:rsidR="00110321" w:rsidRDefault="00110321">
            <w:pPr>
              <w:pStyle w:val="table10"/>
            </w:pPr>
            <w:r>
              <w:t>«9.12. Переоформление разрешения на размещение средства наружной рекламы</w:t>
            </w:r>
          </w:p>
        </w:tc>
        <w:tc>
          <w:tcPr>
            <w:tcW w:w="764" w:type="pct"/>
            <w:tcMar>
              <w:top w:w="0" w:type="dxa"/>
              <w:left w:w="6" w:type="dxa"/>
              <w:bottom w:w="0" w:type="dxa"/>
              <w:right w:w="6" w:type="dxa"/>
            </w:tcMar>
            <w:hideMark/>
          </w:tcPr>
          <w:p w:rsidR="00110321" w:rsidRDefault="00110321">
            <w:pPr>
              <w:pStyle w:val="table10"/>
            </w:pPr>
            <w:r>
              <w:t>Минский городской, городской (города областного подчинения), районный исполнительный комитет</w:t>
            </w:r>
          </w:p>
        </w:tc>
        <w:tc>
          <w:tcPr>
            <w:tcW w:w="1245" w:type="pct"/>
            <w:tcMar>
              <w:top w:w="0" w:type="dxa"/>
              <w:left w:w="6" w:type="dxa"/>
              <w:bottom w:w="0" w:type="dxa"/>
              <w:right w:w="6" w:type="dxa"/>
            </w:tcMar>
            <w:hideMark/>
          </w:tcPr>
          <w:p w:rsidR="00110321" w:rsidRDefault="00110321">
            <w:pPr>
              <w:pStyle w:val="table10"/>
              <w:spacing w:after="60"/>
            </w:pPr>
            <w:r>
              <w:t>заявление</w:t>
            </w:r>
            <w:r>
              <w:br/>
            </w:r>
            <w:r>
              <w:br/>
              <w:t>две фотографии с обозначением места размещения средства наружной рекламы размером 9 x 13 сантиметров, выполненные в цвете</w:t>
            </w:r>
            <w:r>
              <w:br/>
            </w:r>
            <w:r>
              <w:br/>
              <w:t>копия документа, подтверждающего передачу права собственности, права хозяйственного ведения или права оперативного управления на средство наружной рекламы иному лицу, – для случая переоформления разрешения в связи с передачей такого права</w:t>
            </w:r>
            <w:r>
              <w:rPr>
                <w:vertAlign w:val="superscript"/>
              </w:rPr>
              <w:t>2</w:t>
            </w:r>
            <w:r>
              <w:br/>
            </w:r>
            <w:r>
              <w:br/>
              <w:t>документ, подтверждающий внесение платы за переоформление паспорта средства наружной рекламы, за исключением случая переоформления такого паспорта на техническое средство, специально предназначенное и (или) используемое исключительно для размещения социальной рекламы</w:t>
            </w:r>
            <w:r>
              <w:rPr>
                <w:vertAlign w:val="superscript"/>
              </w:rPr>
              <w:t>15</w:t>
            </w:r>
          </w:p>
        </w:tc>
        <w:tc>
          <w:tcPr>
            <w:tcW w:w="776" w:type="pct"/>
            <w:tcMar>
              <w:top w:w="0" w:type="dxa"/>
              <w:left w:w="6" w:type="dxa"/>
              <w:bottom w:w="0" w:type="dxa"/>
              <w:right w:w="6" w:type="dxa"/>
            </w:tcMar>
            <w:hideMark/>
          </w:tcPr>
          <w:p w:rsidR="00110321" w:rsidRDefault="00110321">
            <w:pPr>
              <w:pStyle w:val="table10"/>
            </w:pPr>
            <w:r>
              <w:t>10 дней</w:t>
            </w:r>
          </w:p>
        </w:tc>
        <w:tc>
          <w:tcPr>
            <w:tcW w:w="745" w:type="pct"/>
            <w:tcMar>
              <w:top w:w="0" w:type="dxa"/>
              <w:left w:w="6" w:type="dxa"/>
              <w:bottom w:w="0" w:type="dxa"/>
              <w:right w:w="6" w:type="dxa"/>
            </w:tcMar>
            <w:hideMark/>
          </w:tcPr>
          <w:p w:rsidR="00110321" w:rsidRDefault="00110321">
            <w:pPr>
              <w:pStyle w:val="table10"/>
            </w:pPr>
            <w:r>
              <w:t>на срок, указанный в разрешении</w:t>
            </w:r>
          </w:p>
        </w:tc>
        <w:tc>
          <w:tcPr>
            <w:tcW w:w="701" w:type="pct"/>
            <w:tcMar>
              <w:top w:w="0" w:type="dxa"/>
              <w:left w:w="6" w:type="dxa"/>
              <w:bottom w:w="0" w:type="dxa"/>
              <w:right w:w="6" w:type="dxa"/>
            </w:tcMar>
            <w:hideMark/>
          </w:tcPr>
          <w:p w:rsidR="00110321" w:rsidRDefault="00110321">
            <w:pPr>
              <w:pStyle w:val="table10"/>
            </w:pPr>
            <w:r>
              <w:t>плата за услуги</w:t>
            </w:r>
          </w:p>
        </w:tc>
      </w:tr>
      <w:tr w:rsidR="00110321">
        <w:trPr>
          <w:trHeight w:val="240"/>
        </w:trPr>
        <w:tc>
          <w:tcPr>
            <w:tcW w:w="769" w:type="pct"/>
            <w:tcMar>
              <w:top w:w="0" w:type="dxa"/>
              <w:left w:w="6" w:type="dxa"/>
              <w:bottom w:w="0" w:type="dxa"/>
              <w:right w:w="6" w:type="dxa"/>
            </w:tcMar>
            <w:hideMark/>
          </w:tcPr>
          <w:p w:rsidR="00110321" w:rsidRDefault="00110321">
            <w:pPr>
              <w:pStyle w:val="table10"/>
              <w:spacing w:before="120"/>
            </w:pPr>
            <w:r>
              <w:t>9.13. Согласование наружной рекламы, рекламы на транспортном средстве</w:t>
            </w:r>
          </w:p>
        </w:tc>
        <w:tc>
          <w:tcPr>
            <w:tcW w:w="764" w:type="pct"/>
            <w:tcMar>
              <w:top w:w="0" w:type="dxa"/>
              <w:left w:w="6" w:type="dxa"/>
              <w:bottom w:w="0" w:type="dxa"/>
              <w:right w:w="6" w:type="dxa"/>
            </w:tcMar>
            <w:hideMark/>
          </w:tcPr>
          <w:p w:rsidR="00110321" w:rsidRDefault="00110321">
            <w:pPr>
              <w:pStyle w:val="table10"/>
              <w:spacing w:before="120"/>
            </w:pPr>
            <w:r>
              <w:t>Минский городской, городской (города областного подчинения), районный исполнительный комитет</w:t>
            </w:r>
          </w:p>
        </w:tc>
        <w:tc>
          <w:tcPr>
            <w:tcW w:w="1245" w:type="pct"/>
            <w:tcMar>
              <w:top w:w="0" w:type="dxa"/>
              <w:left w:w="6" w:type="dxa"/>
              <w:bottom w:w="0" w:type="dxa"/>
              <w:right w:w="6" w:type="dxa"/>
            </w:tcMar>
            <w:hideMark/>
          </w:tcPr>
          <w:p w:rsidR="00110321" w:rsidRDefault="00110321">
            <w:pPr>
              <w:pStyle w:val="table10"/>
              <w:spacing w:before="120"/>
            </w:pPr>
            <w:r>
              <w:t>заявление</w:t>
            </w:r>
            <w:r>
              <w:br/>
            </w:r>
            <w:r>
              <w:br/>
              <w:t>макет наружной рекламы в трех экземплярах на бумажном носителе в формате А4, выполненный в цвете, или на электронном носителе при размещении (распространении) такой рекламы на электронном табло либо макет рекламы на транспортном средстве в трех экземплярах на бумажном носителе в формате А4, выполненный в цвете</w:t>
            </w:r>
            <w:r>
              <w:br/>
            </w:r>
            <w:r>
              <w:br/>
              <w:t>две фотографии транспортного средства с обозначением места размещения рекламы</w:t>
            </w:r>
            <w:r>
              <w:br/>
            </w:r>
            <w:r>
              <w:br/>
              <w:t>копия документа, подтверждающего изготовление наружной рекламы или рекламы товара, производимого на территории Республики Беларусь, размещаемой (распространяемой) на транспортном средстве, организациями Республики Беларусь и (или) гражданами Республики Беларусь (копия договора об изготовлении такой рекламы организацией Республики Беларусь или гражданином Республики Беларусь либо копия письма организации Республики Беларусь или гражданина Республики Беларусь, являющихся рекламодателями, об изготовлении такой рекламы)</w:t>
            </w:r>
            <w:r>
              <w:rPr>
                <w:vertAlign w:val="superscript"/>
              </w:rPr>
              <w:t>2</w:t>
            </w:r>
            <w:r>
              <w:br/>
            </w:r>
            <w:r>
              <w:br/>
              <w:t>копии документов, подтверждающих рекламирование товаров в наружной рекламе или товара, производимого на территории Республики Беларусь, в рекламе на транспортном средстве только с участием граждан Республики Беларусь, если в такой рекламе используются образы людей (копия договора о выполнении работы гражданином Республики Беларусь по рекламированию такого товара или об использовании изображения гражданина Республики Беларусь в такой рекламе и копия паспорта гражданина Республики Беларусь либо копия договора об оказании услуги модельным агентством, действующим на территории Республики Беларусь, по предоставлению модели (гражданина Республики Беларусь) для участия в рекламировании товара)</w:t>
            </w:r>
            <w:r>
              <w:rPr>
                <w:vertAlign w:val="superscript"/>
              </w:rPr>
              <w:t>2</w:t>
            </w:r>
            <w:r>
              <w:br/>
            </w:r>
            <w:r>
              <w:br/>
              <w:t>копия документа, подтверждающего государственную регистрацию организации или индивидуального предпринимателя, если в наружной рекламе или рекламе на транспортном средстве содержится информация об организации Республики Беларусь или гражданине, осуществляющем деятельность в качестве индивидуального предпринимателя (при первой подаче такого документа в соответствующий исполнительный комитет)</w:t>
            </w:r>
            <w:r>
              <w:rPr>
                <w:vertAlign w:val="superscript"/>
              </w:rPr>
              <w:t>2</w:t>
            </w:r>
            <w:r>
              <w:br/>
            </w:r>
            <w:r>
              <w:br/>
              <w:t>копия документа, подтверждающего регистрацию иностранного или международного юридического лица (организации, не являющейся юридическим лицом) (легализованная выписка из торгового регистра страны его учреждения или иное эквивалентное доказательство юридического статуса организации в соответствии с законодательством страны ее учреждения), если в наружной рекламе или рекламе на транспортном средстве содержится информация об иностранном или международном юридическом лице (организации, не являющейся юридическим лицом) (при первой подаче такого документа в соответствующий исполнительный комитет)</w:t>
            </w:r>
            <w:r>
              <w:rPr>
                <w:vertAlign w:val="superscript"/>
              </w:rPr>
              <w:t>2</w:t>
            </w:r>
            <w:r>
              <w:br/>
            </w:r>
            <w:r>
              <w:br/>
              <w:t>копия документа, подтверждающего регистрацию товарного знака и (или) знака обслуживания на иностранном языке, если в наружной рекламе или рекламе на транспортном средстве содержится такой товарный знак и (или) знак обслуживания</w:t>
            </w:r>
            <w:r>
              <w:rPr>
                <w:vertAlign w:val="superscript"/>
              </w:rPr>
              <w:t>2</w:t>
            </w:r>
            <w:r>
              <w:br/>
            </w:r>
            <w:r>
              <w:br/>
              <w:t xml:space="preserve">информация о местах и сроках размещения (распространения) наружной рекламы или рекламы на транспортном средстве соответствующим </w:t>
            </w:r>
            <w:proofErr w:type="spellStart"/>
            <w:r>
              <w:t>рекламораспространителем</w:t>
            </w:r>
            <w:proofErr w:type="spellEnd"/>
            <w:r>
              <w:t xml:space="preserve"> или рекламодателем</w:t>
            </w:r>
          </w:p>
        </w:tc>
        <w:tc>
          <w:tcPr>
            <w:tcW w:w="776" w:type="pct"/>
            <w:tcMar>
              <w:top w:w="0" w:type="dxa"/>
              <w:left w:w="6" w:type="dxa"/>
              <w:bottom w:w="0" w:type="dxa"/>
              <w:right w:w="6" w:type="dxa"/>
            </w:tcMar>
            <w:hideMark/>
          </w:tcPr>
          <w:p w:rsidR="00110321" w:rsidRDefault="00110321">
            <w:pPr>
              <w:pStyle w:val="table10"/>
              <w:spacing w:before="120"/>
            </w:pPr>
            <w:r>
              <w:t>10 дней – для случая согласования наружной рекламы, 20 дней – для случая согласования рекламы на транспортном средстве, а в случае направления запроса в другие государственные органы – 1 месяц</w:t>
            </w:r>
          </w:p>
        </w:tc>
        <w:tc>
          <w:tcPr>
            <w:tcW w:w="745" w:type="pct"/>
            <w:tcMar>
              <w:top w:w="0" w:type="dxa"/>
              <w:left w:w="6" w:type="dxa"/>
              <w:bottom w:w="0" w:type="dxa"/>
              <w:right w:w="6" w:type="dxa"/>
            </w:tcMar>
            <w:hideMark/>
          </w:tcPr>
          <w:p w:rsidR="00110321" w:rsidRDefault="00110321">
            <w:pPr>
              <w:pStyle w:val="table10"/>
              <w:spacing w:before="120"/>
            </w:pPr>
            <w:r>
              <w:t>на период размещения (распространения) рекламы</w:t>
            </w:r>
          </w:p>
        </w:tc>
        <w:tc>
          <w:tcPr>
            <w:tcW w:w="701" w:type="pct"/>
            <w:tcMar>
              <w:top w:w="0" w:type="dxa"/>
              <w:left w:w="6" w:type="dxa"/>
              <w:bottom w:w="0" w:type="dxa"/>
              <w:right w:w="6" w:type="dxa"/>
            </w:tcMar>
            <w:hideMark/>
          </w:tcPr>
          <w:p w:rsidR="00110321" w:rsidRDefault="00110321">
            <w:pPr>
              <w:pStyle w:val="table10"/>
              <w:spacing w:before="120"/>
            </w:pPr>
            <w:r>
              <w:t>бесплатно»;</w:t>
            </w:r>
          </w:p>
        </w:tc>
      </w:tr>
    </w:tbl>
    <w:p w:rsidR="00110321" w:rsidRDefault="00110321">
      <w:pPr>
        <w:pStyle w:val="newncpi"/>
      </w:pPr>
      <w:r>
        <w:t> </w:t>
      </w:r>
    </w:p>
    <w:p w:rsidR="00110321" w:rsidRDefault="00110321">
      <w:pPr>
        <w:rPr>
          <w:rFonts w:eastAsia="Times New Roman"/>
        </w:rPr>
        <w:sectPr w:rsidR="00110321" w:rsidSect="00110321">
          <w:pgSz w:w="16840" w:h="11906" w:orient="landscape"/>
          <w:pgMar w:top="567" w:right="289" w:bottom="567" w:left="340" w:header="280" w:footer="709" w:gutter="0"/>
          <w:cols w:space="720"/>
          <w:docGrid w:linePitch="381"/>
        </w:sectPr>
      </w:pPr>
    </w:p>
    <w:p w:rsidR="00110321" w:rsidRDefault="00110321">
      <w:pPr>
        <w:pStyle w:val="newncpi"/>
      </w:pPr>
      <w:r>
        <w:t> </w:t>
      </w:r>
    </w:p>
    <w:p w:rsidR="00110321" w:rsidRDefault="00110321">
      <w:pPr>
        <w:pStyle w:val="underpoint"/>
      </w:pPr>
      <w:r>
        <w:t>2.3.6. в пункте 10.19:</w:t>
      </w:r>
    </w:p>
    <w:p w:rsidR="00110321" w:rsidRDefault="00110321">
      <w:pPr>
        <w:pStyle w:val="underpoint"/>
      </w:pPr>
      <w:r>
        <w:t>2.3.6.1. в подпунктах 10.19.1, 10.19.3 и 10.19.4:</w:t>
      </w:r>
    </w:p>
    <w:p w:rsidR="00110321" w:rsidRDefault="00110321">
      <w:pPr>
        <w:pStyle w:val="newncpi"/>
      </w:pPr>
      <w:r>
        <w:t>в графе «Перечень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p w:rsidR="00110321" w:rsidRDefault="00110321">
      <w:pPr>
        <w:pStyle w:val="newncpi"/>
      </w:pPr>
      <w:r>
        <w:t>абзац второй после слов «бумажном носителе» дополнить словами «в формате А4»;</w:t>
      </w:r>
    </w:p>
    <w:p w:rsidR="00110321" w:rsidRDefault="00110321">
      <w:pPr>
        <w:pStyle w:val="newncpi"/>
      </w:pPr>
      <w:r>
        <w:t>в абзаце четвертом слово «информация» заменить словом «документы»;</w:t>
      </w:r>
    </w:p>
    <w:p w:rsidR="00110321" w:rsidRDefault="00110321">
      <w:pPr>
        <w:pStyle w:val="newncpi"/>
      </w:pPr>
      <w:r>
        <w:t>дополнить графу абзацем пятым следующего содержания:</w:t>
      </w:r>
    </w:p>
    <w:p w:rsidR="00110321" w:rsidRDefault="00110321">
      <w:pPr>
        <w:pStyle w:val="newncpi"/>
      </w:pPr>
      <w:r>
        <w:t>«копии документов, подтверждающих достоверность рекламы»;</w:t>
      </w:r>
    </w:p>
    <w:p w:rsidR="00110321" w:rsidRDefault="00110321">
      <w:pPr>
        <w:pStyle w:val="newncpi"/>
      </w:pPr>
      <w:r>
        <w:t>графу «Срок осуществления административной процедуры» изложить в следующей редакции:</w:t>
      </w:r>
    </w:p>
    <w:p w:rsidR="00110321" w:rsidRDefault="00110321">
      <w:pPr>
        <w:pStyle w:val="newncpi"/>
      </w:pPr>
      <w:r>
        <w:t>«15 дней, а в случае направления рекламных материалов на экспертизу – 1 месяц»;</w:t>
      </w:r>
    </w:p>
    <w:p w:rsidR="00110321" w:rsidRDefault="00110321">
      <w:pPr>
        <w:pStyle w:val="underpoint"/>
      </w:pPr>
      <w:r>
        <w:t>2.3.6.2. в подпункте 10.19.2:</w:t>
      </w:r>
    </w:p>
    <w:p w:rsidR="00110321" w:rsidRDefault="00110321">
      <w:pPr>
        <w:pStyle w:val="newncpi"/>
      </w:pPr>
      <w:r>
        <w:t>графу «Наименование административной процедуры» изложить в следующей редакции:</w:t>
      </w:r>
    </w:p>
    <w:p w:rsidR="00110321" w:rsidRDefault="00110321">
      <w:pPr>
        <w:pStyle w:val="underpoint"/>
      </w:pPr>
      <w:r>
        <w:rPr>
          <w:rStyle w:val="rednoun"/>
        </w:rPr>
        <w:t>«</w:t>
      </w:r>
      <w:r>
        <w:t>10.19.2. методов оказания медицинской помощи, работ и (или) услуг, составляющих медицинскую деятельность</w:t>
      </w:r>
      <w:r>
        <w:rPr>
          <w:rStyle w:val="rednoun"/>
        </w:rPr>
        <w:t>»</w:t>
      </w:r>
      <w:r>
        <w:t>;</w:t>
      </w:r>
    </w:p>
    <w:p w:rsidR="00110321" w:rsidRDefault="00110321">
      <w:pPr>
        <w:pStyle w:val="newncpi"/>
      </w:pPr>
      <w:r>
        <w:t>в графе «Перечень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p w:rsidR="00110321" w:rsidRDefault="00110321">
      <w:pPr>
        <w:pStyle w:val="newncpi"/>
      </w:pPr>
      <w:r>
        <w:t>абзац второй после слов «бумажном носителе» дополнить словами «в формате А4»;</w:t>
      </w:r>
    </w:p>
    <w:p w:rsidR="00110321" w:rsidRDefault="00110321">
      <w:pPr>
        <w:pStyle w:val="newncpi"/>
      </w:pPr>
      <w:r>
        <w:t>абзац третий изложить в следующей редакции:</w:t>
      </w:r>
    </w:p>
    <w:p w:rsidR="00110321" w:rsidRDefault="00110321">
      <w:pPr>
        <w:pStyle w:val="newncpi"/>
      </w:pPr>
      <w:r>
        <w:t>«документы об опыте применения методов оказания медицинской помощи, работ и (или) услуг, составляющих медицинскую деятельность (научные статьи, монографии, публикации, клинические протоколы, методические руководства)»;</w:t>
      </w:r>
    </w:p>
    <w:p w:rsidR="00110321" w:rsidRDefault="00110321">
      <w:pPr>
        <w:pStyle w:val="newncpi"/>
      </w:pPr>
      <w:r>
        <w:t>дополнить графу абзацем четвертым следующего содержания:</w:t>
      </w:r>
    </w:p>
    <w:p w:rsidR="00110321" w:rsidRDefault="00110321">
      <w:pPr>
        <w:pStyle w:val="newncpi"/>
      </w:pPr>
      <w:r>
        <w:t>«копии документов, подтверждающих достоверность рекламы»;</w:t>
      </w:r>
    </w:p>
    <w:p w:rsidR="00110321" w:rsidRDefault="00110321">
      <w:pPr>
        <w:pStyle w:val="newncpi"/>
      </w:pPr>
      <w:r>
        <w:t>графу «Срок осуществления административной процедуры» изложить в следующей редакции:</w:t>
      </w:r>
    </w:p>
    <w:p w:rsidR="00110321" w:rsidRDefault="00110321">
      <w:pPr>
        <w:pStyle w:val="newncpi"/>
      </w:pPr>
      <w:r>
        <w:t>«15 дней, а в случае направления рекламных материалов на экспертизу – 1 месяц»;</w:t>
      </w:r>
    </w:p>
    <w:p w:rsidR="00110321" w:rsidRDefault="00110321">
      <w:pPr>
        <w:pStyle w:val="underpoint"/>
      </w:pPr>
      <w:r>
        <w:t>2.3.6.3. подпункт 10.19.5 исключить;</w:t>
      </w:r>
    </w:p>
    <w:p w:rsidR="00110321" w:rsidRDefault="00110321">
      <w:pPr>
        <w:pStyle w:val="underpoint"/>
      </w:pPr>
      <w:r>
        <w:t xml:space="preserve">2.3.6.4. дополнить пункт подпунктом 10.19.6 следующего содержания: </w:t>
      </w:r>
    </w:p>
    <w:p w:rsidR="00110321" w:rsidRDefault="00110321">
      <w:pPr>
        <w:pStyle w:val="newncpi"/>
      </w:pPr>
      <w:r>
        <w:t> </w:t>
      </w:r>
    </w:p>
    <w:p w:rsidR="00110321" w:rsidRDefault="00110321">
      <w:pPr>
        <w:rPr>
          <w:rFonts w:eastAsia="Times New Roman"/>
        </w:rPr>
        <w:sectPr w:rsidR="00110321" w:rsidSect="00110321">
          <w:pgSz w:w="11906" w:h="16840"/>
          <w:pgMar w:top="567" w:right="1134" w:bottom="567" w:left="1417" w:header="280" w:footer="0" w:gutter="0"/>
          <w:cols w:space="720"/>
          <w:docGrid w:linePitch="381"/>
        </w:sectPr>
      </w:pPr>
    </w:p>
    <w:p w:rsidR="00110321" w:rsidRDefault="00110321">
      <w:pPr>
        <w:pStyle w:val="newncpi"/>
      </w:pPr>
      <w:r>
        <w:t> </w:t>
      </w:r>
    </w:p>
    <w:tbl>
      <w:tblPr>
        <w:tblW w:w="5000" w:type="pct"/>
        <w:tblInd w:w="-6" w:type="dxa"/>
        <w:tblCellMar>
          <w:left w:w="0" w:type="dxa"/>
          <w:right w:w="0" w:type="dxa"/>
        </w:tblCellMar>
        <w:tblLook w:val="04A0" w:firstRow="1" w:lastRow="0" w:firstColumn="1" w:lastColumn="0" w:noHBand="0" w:noVBand="1"/>
      </w:tblPr>
      <w:tblGrid>
        <w:gridCol w:w="2493"/>
        <w:gridCol w:w="2477"/>
        <w:gridCol w:w="4037"/>
        <w:gridCol w:w="2516"/>
        <w:gridCol w:w="2415"/>
        <w:gridCol w:w="2273"/>
      </w:tblGrid>
      <w:tr w:rsidR="00110321">
        <w:trPr>
          <w:trHeight w:val="240"/>
        </w:trPr>
        <w:tc>
          <w:tcPr>
            <w:tcW w:w="769" w:type="pct"/>
            <w:tcMar>
              <w:top w:w="0" w:type="dxa"/>
              <w:left w:w="6" w:type="dxa"/>
              <w:bottom w:w="0" w:type="dxa"/>
              <w:right w:w="6" w:type="dxa"/>
            </w:tcMar>
            <w:hideMark/>
          </w:tcPr>
          <w:p w:rsidR="00110321" w:rsidRDefault="00110321">
            <w:pPr>
              <w:pStyle w:val="table10"/>
            </w:pPr>
            <w:r>
              <w:t>«10.19.6. лекарственных средств, изделий медицинского назначения и медицинской техники, осуществляемой в рамках клинических испытаний этих лекарственных средств, изделий медицинского назначения и медицинской техники, проводимых в целях их последующей государственной регистрации</w:t>
            </w:r>
          </w:p>
        </w:tc>
        <w:tc>
          <w:tcPr>
            <w:tcW w:w="764" w:type="pct"/>
            <w:tcMar>
              <w:top w:w="0" w:type="dxa"/>
              <w:left w:w="6" w:type="dxa"/>
              <w:bottom w:w="0" w:type="dxa"/>
              <w:right w:w="6" w:type="dxa"/>
            </w:tcMar>
            <w:hideMark/>
          </w:tcPr>
          <w:p w:rsidR="00110321" w:rsidRDefault="00110321">
            <w:pPr>
              <w:pStyle w:val="table10"/>
            </w:pPr>
            <w:r>
              <w:t>Минздрав (РУП «Центр экспертиз и испытаний в здравоохранении»)</w:t>
            </w:r>
          </w:p>
        </w:tc>
        <w:tc>
          <w:tcPr>
            <w:tcW w:w="1245" w:type="pct"/>
            <w:tcMar>
              <w:top w:w="0" w:type="dxa"/>
              <w:left w:w="6" w:type="dxa"/>
              <w:bottom w:w="0" w:type="dxa"/>
              <w:right w:w="6" w:type="dxa"/>
            </w:tcMar>
            <w:hideMark/>
          </w:tcPr>
          <w:p w:rsidR="00110321" w:rsidRDefault="00110321">
            <w:pPr>
              <w:pStyle w:val="table10"/>
            </w:pPr>
            <w:r>
              <w:t>заявление</w:t>
            </w:r>
            <w:r>
              <w:br/>
            </w:r>
            <w:r>
              <w:br/>
              <w:t>два образца рекламных материалов на бумажном носителе в формате А4 (видео- и аудиореклама дополнительно представляются на магнитном или электронном носителе)</w:t>
            </w:r>
            <w:r>
              <w:br/>
            </w:r>
            <w:r>
              <w:br/>
              <w:t>проект инструкции по медицинскому применению лекарственного средства или проект руководства пользователя (руководства по эксплуатации) изделия медицинского назначения и изделия медицинской техники</w:t>
            </w:r>
            <w:r>
              <w:br/>
            </w:r>
            <w:r>
              <w:br/>
              <w:t>выписка из решения комитета по этике с одобрением представленных рекламных материалов</w:t>
            </w:r>
            <w:r>
              <w:br/>
            </w:r>
            <w:r>
              <w:br/>
              <w:t>копии документов, подтверждающих достоверность рекламы</w:t>
            </w:r>
          </w:p>
        </w:tc>
        <w:tc>
          <w:tcPr>
            <w:tcW w:w="776" w:type="pct"/>
            <w:tcMar>
              <w:top w:w="0" w:type="dxa"/>
              <w:left w:w="6" w:type="dxa"/>
              <w:bottom w:w="0" w:type="dxa"/>
              <w:right w:w="6" w:type="dxa"/>
            </w:tcMar>
            <w:hideMark/>
          </w:tcPr>
          <w:p w:rsidR="00110321" w:rsidRDefault="00110321">
            <w:pPr>
              <w:pStyle w:val="table10"/>
            </w:pPr>
            <w:r>
              <w:t>15 дней, а в случае направления рекламных материалов на экспертизу – 1 месяц</w:t>
            </w:r>
          </w:p>
        </w:tc>
        <w:tc>
          <w:tcPr>
            <w:tcW w:w="745" w:type="pct"/>
            <w:tcMar>
              <w:top w:w="0" w:type="dxa"/>
              <w:left w:w="6" w:type="dxa"/>
              <w:bottom w:w="0" w:type="dxa"/>
              <w:right w:w="6" w:type="dxa"/>
            </w:tcMar>
            <w:hideMark/>
          </w:tcPr>
          <w:p w:rsidR="00110321" w:rsidRDefault="00110321">
            <w:pPr>
              <w:pStyle w:val="table10"/>
            </w:pPr>
            <w:r>
              <w:t>1 год</w:t>
            </w:r>
          </w:p>
        </w:tc>
        <w:tc>
          <w:tcPr>
            <w:tcW w:w="701" w:type="pct"/>
            <w:tcMar>
              <w:top w:w="0" w:type="dxa"/>
              <w:left w:w="6" w:type="dxa"/>
              <w:bottom w:w="0" w:type="dxa"/>
              <w:right w:w="6" w:type="dxa"/>
            </w:tcMar>
            <w:hideMark/>
          </w:tcPr>
          <w:p w:rsidR="00110321" w:rsidRDefault="00110321">
            <w:pPr>
              <w:pStyle w:val="table10"/>
            </w:pPr>
            <w:r>
              <w:t>плата за услуги»;</w:t>
            </w:r>
          </w:p>
        </w:tc>
      </w:tr>
    </w:tbl>
    <w:p w:rsidR="00110321" w:rsidRDefault="00110321">
      <w:pPr>
        <w:pStyle w:val="newncpi"/>
      </w:pPr>
      <w:r>
        <w:t> </w:t>
      </w:r>
    </w:p>
    <w:p w:rsidR="00110321" w:rsidRDefault="00110321">
      <w:pPr>
        <w:rPr>
          <w:rFonts w:eastAsia="Times New Roman"/>
        </w:rPr>
        <w:sectPr w:rsidR="00110321" w:rsidSect="00110321">
          <w:pgSz w:w="16840" w:h="11906" w:orient="landscape"/>
          <w:pgMar w:top="567" w:right="289" w:bottom="567" w:left="340" w:header="280" w:footer="709" w:gutter="0"/>
          <w:cols w:space="720"/>
          <w:docGrid w:linePitch="381"/>
        </w:sectPr>
      </w:pPr>
    </w:p>
    <w:p w:rsidR="00110321" w:rsidRDefault="00110321">
      <w:pPr>
        <w:pStyle w:val="newncpi"/>
      </w:pPr>
      <w:r>
        <w:t> </w:t>
      </w:r>
    </w:p>
    <w:p w:rsidR="00110321" w:rsidRDefault="00110321">
      <w:pPr>
        <w:pStyle w:val="underpoint"/>
      </w:pPr>
      <w:r>
        <w:t>2.3.7. в графе «Наименование административной процедуры» пункта 11.2 слова «Республики Беларусь за границей» заменить словами «за пределами Республики Беларусь».</w:t>
      </w:r>
    </w:p>
    <w:p w:rsidR="00110321" w:rsidRDefault="00110321">
      <w:pPr>
        <w:pStyle w:val="point"/>
      </w:pPr>
      <w:r>
        <w:t xml:space="preserve">3. Плата за предоставление права на использование городской среды (среды населенного пункта или иных территорий) в рекламных целях, зачисленная в бюджет соответствующей административно-территориальной единицы на основании договора на размещение (распространение) наружной рекламы, средства которой включены в перечень средств наружной рекламы, на размещение которых не требуется получение разрешения, и договора на размещение (распространение) рекламы на транспортном средстве, заключенных до вступления в силу настоящего постановления, </w:t>
      </w:r>
      <w:proofErr w:type="spellStart"/>
      <w:r>
        <w:t>рекламораспространителю</w:t>
      </w:r>
      <w:proofErr w:type="spellEnd"/>
      <w:r>
        <w:t>, рекламодателю не возвращается.</w:t>
      </w:r>
    </w:p>
    <w:p w:rsidR="00110321" w:rsidRDefault="00110321">
      <w:pPr>
        <w:pStyle w:val="point"/>
      </w:pPr>
      <w:r>
        <w:t>4. Республиканским органам государственного управления, местным исполнительным и распорядительным органам привести свои нормативные правовые акты в соответствие с настоящим постановлением.</w:t>
      </w:r>
    </w:p>
    <w:p w:rsidR="00110321" w:rsidRDefault="00110321">
      <w:pPr>
        <w:pStyle w:val="point"/>
      </w:pPr>
      <w:r>
        <w:t>5. Настоящее постановление вступает в силу с 10 июля 2013 г.</w:t>
      </w:r>
    </w:p>
    <w:p w:rsidR="00110321" w:rsidRDefault="00110321">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110321">
        <w:tc>
          <w:tcPr>
            <w:tcW w:w="2500" w:type="pct"/>
            <w:tcMar>
              <w:top w:w="0" w:type="dxa"/>
              <w:left w:w="6" w:type="dxa"/>
              <w:bottom w:w="0" w:type="dxa"/>
              <w:right w:w="6" w:type="dxa"/>
            </w:tcMar>
            <w:vAlign w:val="bottom"/>
            <w:hideMark/>
          </w:tcPr>
          <w:p w:rsidR="00110321" w:rsidRDefault="00110321">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110321" w:rsidRDefault="00110321">
            <w:pPr>
              <w:pStyle w:val="newncpi0"/>
              <w:jc w:val="right"/>
            </w:pPr>
            <w:proofErr w:type="spellStart"/>
            <w:r>
              <w:rPr>
                <w:rStyle w:val="pers"/>
              </w:rPr>
              <w:t>М.Мясникович</w:t>
            </w:r>
            <w:proofErr w:type="spellEnd"/>
          </w:p>
        </w:tc>
      </w:tr>
    </w:tbl>
    <w:p w:rsidR="00110321" w:rsidRDefault="00110321">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110321">
        <w:tc>
          <w:tcPr>
            <w:tcW w:w="3750" w:type="pct"/>
            <w:tcMar>
              <w:top w:w="0" w:type="dxa"/>
              <w:left w:w="6" w:type="dxa"/>
              <w:bottom w:w="0" w:type="dxa"/>
              <w:right w:w="6" w:type="dxa"/>
            </w:tcMar>
            <w:hideMark/>
          </w:tcPr>
          <w:p w:rsidR="00110321" w:rsidRDefault="00110321">
            <w:pPr>
              <w:pStyle w:val="newncpi"/>
            </w:pPr>
            <w:r>
              <w:t> </w:t>
            </w:r>
          </w:p>
        </w:tc>
        <w:tc>
          <w:tcPr>
            <w:tcW w:w="1250" w:type="pct"/>
            <w:tcMar>
              <w:top w:w="0" w:type="dxa"/>
              <w:left w:w="6" w:type="dxa"/>
              <w:bottom w:w="0" w:type="dxa"/>
              <w:right w:w="6" w:type="dxa"/>
            </w:tcMar>
            <w:hideMark/>
          </w:tcPr>
          <w:p w:rsidR="00110321" w:rsidRDefault="00110321">
            <w:pPr>
              <w:pStyle w:val="capu1"/>
            </w:pPr>
            <w:r>
              <w:t>УТВЕРЖДЕНО</w:t>
            </w:r>
          </w:p>
          <w:p w:rsidR="00110321" w:rsidRDefault="00110321">
            <w:pPr>
              <w:pStyle w:val="cap1"/>
            </w:pPr>
            <w:r>
              <w:t xml:space="preserve">Постановление </w:t>
            </w:r>
            <w:r>
              <w:br/>
              <w:t xml:space="preserve">Совета Министров </w:t>
            </w:r>
            <w:r>
              <w:br/>
              <w:t>Республики Беларусь</w:t>
            </w:r>
          </w:p>
          <w:p w:rsidR="00110321" w:rsidRDefault="00110321">
            <w:pPr>
              <w:pStyle w:val="cap1"/>
            </w:pPr>
            <w:r>
              <w:t>09.07.2013 № 603</w:t>
            </w:r>
          </w:p>
        </w:tc>
      </w:tr>
    </w:tbl>
    <w:p w:rsidR="00110321" w:rsidRDefault="00110321">
      <w:pPr>
        <w:pStyle w:val="titleu"/>
      </w:pPr>
      <w:r>
        <w:t xml:space="preserve">ПОЛОЖЕНИЕ </w:t>
      </w:r>
      <w:r>
        <w:br/>
        <w:t>о порядке производства и размещения (распространения) социальной рекламы</w:t>
      </w:r>
    </w:p>
    <w:p w:rsidR="00110321" w:rsidRDefault="00110321">
      <w:pPr>
        <w:pStyle w:val="point"/>
      </w:pPr>
      <w:r>
        <w:t>1. Настоящее Положение разработано в соответствии с абзацем пятым статьи 7, пунктами 1 и 3 статьи 24 Закона Республики Беларусь от 10 мая 2007 г. № 225-З «О рекламе».</w:t>
      </w:r>
    </w:p>
    <w:p w:rsidR="00110321" w:rsidRDefault="00110321">
      <w:pPr>
        <w:pStyle w:val="newncpi"/>
      </w:pPr>
      <w:r>
        <w:t>Настоящим Положением устанавливается порядок производства и размещения (распространения) социальной рекламы, включая порядок участия Межведомственного совета по рекламе (далее – Межведомственный совет) в оценке качества социальной рекламы, планируемой к размещению (распространению) на телевидении, радио, средствах наружной рекламы и (или) транспортных средствах, за исключением социальной рекламы, содержащей исключительно информацию о государственных праздниках, праздничных днях, памятных датах или мероприятиях республиканского или местного значения (далее – социальная теле- и радиореклама, социальная наружная реклама и (или) социальная реклама на транспортном средстве).</w:t>
      </w:r>
    </w:p>
    <w:p w:rsidR="00110321" w:rsidRDefault="00110321">
      <w:pPr>
        <w:pStyle w:val="point"/>
      </w:pPr>
      <w:r>
        <w:t>2. Для целей настоящего Положения применяются термины и их определения в значениях, установленных Законом Республики Беларусь «О рекламе».</w:t>
      </w:r>
    </w:p>
    <w:p w:rsidR="00110321" w:rsidRDefault="00110321">
      <w:pPr>
        <w:pStyle w:val="point"/>
      </w:pPr>
      <w:r>
        <w:t>3. Рекламодателем социальной рекламы является государственный орган, в компетенцию которого входят вопросы, освещаемые в социальной рекламе, и который обеспечивает производство, размещение (распространение) социальной рекламы.</w:t>
      </w:r>
    </w:p>
    <w:p w:rsidR="00110321" w:rsidRDefault="00110321">
      <w:pPr>
        <w:pStyle w:val="point"/>
      </w:pPr>
      <w:r>
        <w:t>4. Юридические лица и граждане вправе обращаться в государственные органы с предложением о производстве и (или) размещении (распространении) социальной рекламы.</w:t>
      </w:r>
    </w:p>
    <w:p w:rsidR="00110321" w:rsidRDefault="00110321">
      <w:pPr>
        <w:pStyle w:val="newncpi"/>
      </w:pPr>
      <w:r>
        <w:t>Предложение о производстве и (или) размещении (распространении) социальной рекламы подается юридическим лицом или гражданином в государственный орган, в компетенцию которого входят вопросы, планируемые к освещению в социальной рекламе. Если эти вопросы относятся к компетенции нескольких государственных органов, юридическое лицо или гражданин вправе обратиться с предложением о производстве и (или) размещении (распространении) такой рекламы в любой из этих государственных органов.</w:t>
      </w:r>
    </w:p>
    <w:p w:rsidR="00110321" w:rsidRDefault="00110321">
      <w:pPr>
        <w:pStyle w:val="newncpi"/>
      </w:pPr>
      <w:r>
        <w:t>Государственный орган рассматривает такое предложение в соответствии с законодательством об обращениях граждан и юридических лиц.</w:t>
      </w:r>
    </w:p>
    <w:p w:rsidR="00110321" w:rsidRDefault="00110321">
      <w:pPr>
        <w:pStyle w:val="point"/>
      </w:pPr>
      <w:r>
        <w:t>5. Государственный орган – рекламодатель социальной рекламы (далее – государственный орган) обеспечивает производство социальной рекламы путем приобретения готового рекламного продукта или работ (услуг) по производству социальной рекламы.</w:t>
      </w:r>
    </w:p>
    <w:p w:rsidR="00110321" w:rsidRDefault="00110321">
      <w:pPr>
        <w:pStyle w:val="point"/>
      </w:pPr>
      <w:r>
        <w:t>6. Юридические лица и граждане оказывают содействие государственным органам в производстве социальной рекламы путем реализации (безвозмездной передачи) государственным органам готового рекламного продукта, выполнения работ (оказания услуг) по производству социальной рекламы либо иным способом, не запрещенным законодательством.</w:t>
      </w:r>
    </w:p>
    <w:p w:rsidR="00110321" w:rsidRDefault="00110321">
      <w:pPr>
        <w:pStyle w:val="point"/>
      </w:pPr>
      <w:r>
        <w:t>7. Государственный орган представляет в Межведомственный совет:</w:t>
      </w:r>
    </w:p>
    <w:p w:rsidR="00110321" w:rsidRDefault="00110321">
      <w:pPr>
        <w:pStyle w:val="newncpi"/>
      </w:pPr>
      <w:r>
        <w:t>для оценки качества социальной теле- и радиорекламы, социальной наружной рекламы и (или) социальной рекламы на транспортном средстве, приобретаемой государственным органом в виде готового рекламного продукта, до заключения договора о его приобретении – приобретаемый ролик социальной теле- и радиорекламы, макет социальной наружной рекламы и (или) социальной рекламы на транспортном средстве;</w:t>
      </w:r>
    </w:p>
    <w:p w:rsidR="00110321" w:rsidRDefault="00110321">
      <w:pPr>
        <w:pStyle w:val="newncpi"/>
      </w:pPr>
      <w:r>
        <w:t>для оценки качества социальной наружной рекламы и (или) социальной рекламы на транспортном средстве, производимой на основании договора о выполнении работ (оказании услуг), заключенного между государственным органом и </w:t>
      </w:r>
      <w:proofErr w:type="spellStart"/>
      <w:r>
        <w:t>рекламопроизводителем</w:t>
      </w:r>
      <w:proofErr w:type="spellEnd"/>
      <w:r>
        <w:t xml:space="preserve"> (далее – договор), по окончании выполнения </w:t>
      </w:r>
      <w:proofErr w:type="spellStart"/>
      <w:r>
        <w:t>рекламопроизводителем</w:t>
      </w:r>
      <w:proofErr w:type="spellEnd"/>
      <w:r>
        <w:t xml:space="preserve"> работ (оказания услуг) до их приемки государственным органом – изготовленный макет социальной наружной рекламы и (или) социальной рекламы на транспортном средстве;</w:t>
      </w:r>
    </w:p>
    <w:p w:rsidR="00110321" w:rsidRDefault="00110321">
      <w:pPr>
        <w:pStyle w:val="newncpi"/>
      </w:pPr>
      <w:r>
        <w:t>для оценки качества социальной теле- и радиорекламы, производимой на основании договора:</w:t>
      </w:r>
    </w:p>
    <w:p w:rsidR="00110321" w:rsidRDefault="00110321">
      <w:pPr>
        <w:pStyle w:val="newncpi"/>
      </w:pPr>
      <w:r>
        <w:t xml:space="preserve">по окончании разработки </w:t>
      </w:r>
      <w:proofErr w:type="spellStart"/>
      <w:r>
        <w:t>рекламопроизводителем</w:t>
      </w:r>
      <w:proofErr w:type="spellEnd"/>
      <w:r>
        <w:t xml:space="preserve"> сценария социальной теле- и радиорекламы – сценарий социальной теле- и радиорекламы;</w:t>
      </w:r>
    </w:p>
    <w:p w:rsidR="00110321" w:rsidRDefault="00110321">
      <w:pPr>
        <w:pStyle w:val="newncpi"/>
      </w:pPr>
      <w:r>
        <w:t xml:space="preserve">по окончании выполнения </w:t>
      </w:r>
      <w:proofErr w:type="spellStart"/>
      <w:r>
        <w:t>рекламопроизводителем</w:t>
      </w:r>
      <w:proofErr w:type="spellEnd"/>
      <w:r>
        <w:t xml:space="preserve"> работ (оказания услуг) до их приемки государственным органом – изготовленный ролик социальной теле- и радиорекламы.</w:t>
      </w:r>
    </w:p>
    <w:p w:rsidR="00110321" w:rsidRDefault="00110321">
      <w:pPr>
        <w:pStyle w:val="newncpi"/>
      </w:pPr>
      <w:r>
        <w:t>Указанные в части первой настоящего пункта материалы государственный орган передает в Министерство антимонопольного регулирования и торговли.</w:t>
      </w:r>
    </w:p>
    <w:p w:rsidR="00110321" w:rsidRDefault="00110321">
      <w:pPr>
        <w:pStyle w:val="point"/>
      </w:pPr>
      <w:r>
        <w:t>8. Решение об оценке качества социальной теле- и радиорекламы, социальной наружной рекламы и (или) социальной рекламы на транспортном средстве принимается Межведомственным советом на основании заключения рабочей группы в установленном законодательством порядке.</w:t>
      </w:r>
    </w:p>
    <w:p w:rsidR="00110321" w:rsidRDefault="00110321">
      <w:pPr>
        <w:pStyle w:val="point"/>
      </w:pPr>
      <w:r>
        <w:t>9. Решение Межведомственного совета об оценке качества социальной теле- и радиорекламы, социальной наружной рекламы и (или) социальной рекламы на транспортном средстве принимается в течение 30 дней со дня представления материалов, указанных в части первой пункта 7 настоящего Положения.</w:t>
      </w:r>
    </w:p>
    <w:p w:rsidR="00110321" w:rsidRDefault="00110321">
      <w:pPr>
        <w:pStyle w:val="point"/>
      </w:pPr>
      <w:r>
        <w:t>10. Государственный орган, получивший решение Межведомственного совета, содержащее положительную оценку качества социальной теле- и радиорекламы, социальной наружной рекламы и (или) социальной рекламы на транспортном средстве, продолжает производство и (или) обеспечивает ее размещение (распространение).</w:t>
      </w:r>
    </w:p>
    <w:p w:rsidR="00110321" w:rsidRDefault="00110321">
      <w:pPr>
        <w:pStyle w:val="newncpi"/>
      </w:pPr>
      <w:r>
        <w:t>Размещение (распространение) социальной теле- и радиорекламы, социальной наружной рекламы и (или) социальной рекламы на транспортном средстве, качество которой признано Межведомственным советом ненадлежащим, не допускается.</w:t>
      </w:r>
    </w:p>
    <w:p w:rsidR="00110321" w:rsidRDefault="00110321">
      <w:pPr>
        <w:pStyle w:val="point"/>
      </w:pPr>
      <w:r>
        <w:t xml:space="preserve">11. Договор должен содержать условие об ответственности </w:t>
      </w:r>
      <w:proofErr w:type="spellStart"/>
      <w:r>
        <w:t>рекламопроизводителя</w:t>
      </w:r>
      <w:proofErr w:type="spellEnd"/>
      <w:r>
        <w:t xml:space="preserve"> за неисполнение и ненадлежащее исполнение обязательств по договору, в том числе за разработку сценария и (или) производство социальной теле- и радиорекламы, социальной наружной рекламы и (или) социальной рекламы на транспортном средстве, качество которой признано Межведомственным советом ненадлежащим, в виде безвозмездного устранения недостатков выполненной работы (оказанной услуги), возмещения государственному органу понесенных убытков, выплаты неустойки за нарушение сроков выполнения работы (оказания услуги) и другого.</w:t>
      </w:r>
    </w:p>
    <w:p w:rsidR="00110321" w:rsidRDefault="00110321">
      <w:pPr>
        <w:pStyle w:val="point"/>
      </w:pPr>
      <w:r>
        <w:t xml:space="preserve">12. Для размещения (распространения) социальной рекламы государственный орган подает </w:t>
      </w:r>
      <w:proofErr w:type="spellStart"/>
      <w:r>
        <w:t>рекламораспространителю</w:t>
      </w:r>
      <w:proofErr w:type="spellEnd"/>
      <w:r>
        <w:t xml:space="preserve"> заявку в произвольной письменной форме на размещение (распространение) такой рекламы (далее – заявка), в которой указывает наименование государственного органа, тематику социальной рекламы и предполагаемые сроки ее размещения (распространения), за исключением случая, указанного в части третьей настоящего пункта.</w:t>
      </w:r>
    </w:p>
    <w:p w:rsidR="00110321" w:rsidRDefault="00110321">
      <w:pPr>
        <w:pStyle w:val="newncpi"/>
      </w:pPr>
      <w:r>
        <w:t>Заявка подается не позднее чем за один месяц до указанных в ней предполагаемых сроков размещения (распространения) социальной рекламы.</w:t>
      </w:r>
    </w:p>
    <w:p w:rsidR="00110321" w:rsidRDefault="00110321">
      <w:pPr>
        <w:pStyle w:val="newncpi"/>
      </w:pPr>
      <w:r>
        <w:t xml:space="preserve">Заявка не подается в случае, если </w:t>
      </w:r>
      <w:proofErr w:type="spellStart"/>
      <w:r>
        <w:t>рекламораспространитель</w:t>
      </w:r>
      <w:proofErr w:type="spellEnd"/>
      <w:r>
        <w:t xml:space="preserve"> самостоятельно обратился в государственный орган с просьбой о предоставлении ему социальной рекламы для ее размещения (распространения).</w:t>
      </w:r>
    </w:p>
    <w:p w:rsidR="00110321" w:rsidRDefault="00110321">
      <w:pPr>
        <w:pStyle w:val="newncpi"/>
      </w:pPr>
      <w:proofErr w:type="spellStart"/>
      <w:r>
        <w:t>Рекламораспространитель</w:t>
      </w:r>
      <w:proofErr w:type="spellEnd"/>
      <w:r>
        <w:t xml:space="preserve"> прекращает размещение (распространение) социальной рекламы, содержащей информацию о государственных праздниках, праздничных днях, памятных датах, сроках проведения мероприятий по случаю государственных праздников, праздничных дней, памятных дат, иных мероприятий республиканского или местного значения, не позднее трех рабочих дней со дня окончания государственных праздников, праздничных дней, памятных дат, сроков проведения указанных мероприятий.</w:t>
      </w:r>
    </w:p>
    <w:p w:rsidR="00110321" w:rsidRDefault="00110321">
      <w:pPr>
        <w:pStyle w:val="point"/>
      </w:pPr>
      <w:r>
        <w:t>13. </w:t>
      </w:r>
      <w:proofErr w:type="spellStart"/>
      <w:r>
        <w:t>Рекламораспространитель</w:t>
      </w:r>
      <w:proofErr w:type="spellEnd"/>
      <w:r>
        <w:t xml:space="preserve"> вправе запросить у государственного органа, подавшего заявку, решение Межведомственного совета, содержащее оценку качества социальной теле- и радиорекламы, социальной наружной рекламы и (или) социальной рекламы на транспортном средстве.</w:t>
      </w:r>
    </w:p>
    <w:p w:rsidR="00110321" w:rsidRDefault="00110321">
      <w:pPr>
        <w:pStyle w:val="point"/>
      </w:pPr>
      <w:r>
        <w:t>14. </w:t>
      </w:r>
      <w:proofErr w:type="spellStart"/>
      <w:r>
        <w:t>Рекламораспространитель</w:t>
      </w:r>
      <w:proofErr w:type="spellEnd"/>
      <w:r>
        <w:t>, осуществляющий размещение (распространение) социальной теле- и радиорекламы, ведет учет заявок по дате их поступления и осуществляет размещение (распространение) социальной теле- и радиорекламы в порядке очередности поступления заявок.</w:t>
      </w:r>
    </w:p>
    <w:p w:rsidR="00110321" w:rsidRDefault="00110321">
      <w:pPr>
        <w:pStyle w:val="point"/>
      </w:pPr>
      <w:r>
        <w:t xml:space="preserve">15. Социальная реклама должна быть размещена (распространена) в теле- и радиоэфире с 18 до 22 часов, а также в иное время, определенное </w:t>
      </w:r>
      <w:proofErr w:type="spellStart"/>
      <w:r>
        <w:t>рекламораспространителем</w:t>
      </w:r>
      <w:proofErr w:type="spellEnd"/>
      <w:r>
        <w:t>.</w:t>
      </w:r>
    </w:p>
    <w:p w:rsidR="00110321" w:rsidRDefault="00110321">
      <w:pPr>
        <w:pStyle w:val="point"/>
      </w:pPr>
      <w:r>
        <w:t>16. Срок размещения (распространения) одной и той же социальной теле- и радиорекламы не может превышать двух месяцев подряд.</w:t>
      </w:r>
    </w:p>
    <w:p w:rsidR="00110321" w:rsidRDefault="00110321">
      <w:pPr>
        <w:pStyle w:val="point"/>
      </w:pPr>
      <w:r>
        <w:t xml:space="preserve">17. После окончания срока размещения (распространения) социальной рекламы государственный орган вправе повторно обратиться к </w:t>
      </w:r>
      <w:proofErr w:type="spellStart"/>
      <w:r>
        <w:t>рекламораспространителю</w:t>
      </w:r>
      <w:proofErr w:type="spellEnd"/>
      <w:r>
        <w:t xml:space="preserve"> с соответствующей заявкой.</w:t>
      </w:r>
    </w:p>
    <w:p w:rsidR="00110321" w:rsidRDefault="00110321">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110321">
        <w:tc>
          <w:tcPr>
            <w:tcW w:w="3561" w:type="pct"/>
            <w:tcMar>
              <w:top w:w="0" w:type="dxa"/>
              <w:left w:w="6" w:type="dxa"/>
              <w:bottom w:w="0" w:type="dxa"/>
              <w:right w:w="6" w:type="dxa"/>
            </w:tcMar>
            <w:hideMark/>
          </w:tcPr>
          <w:p w:rsidR="00110321" w:rsidRDefault="00110321">
            <w:pPr>
              <w:pStyle w:val="cap1"/>
            </w:pPr>
            <w:r>
              <w:t> </w:t>
            </w:r>
          </w:p>
        </w:tc>
        <w:tc>
          <w:tcPr>
            <w:tcW w:w="1439" w:type="pct"/>
            <w:tcMar>
              <w:top w:w="0" w:type="dxa"/>
              <w:left w:w="6" w:type="dxa"/>
              <w:bottom w:w="0" w:type="dxa"/>
              <w:right w:w="6" w:type="dxa"/>
            </w:tcMar>
            <w:hideMark/>
          </w:tcPr>
          <w:p w:rsidR="00110321" w:rsidRDefault="00110321">
            <w:pPr>
              <w:pStyle w:val="capu1"/>
            </w:pPr>
            <w:r>
              <w:t>УТВЕРЖДЕНО</w:t>
            </w:r>
          </w:p>
          <w:p w:rsidR="00110321" w:rsidRDefault="00110321">
            <w:pPr>
              <w:pStyle w:val="cap1"/>
            </w:pPr>
            <w:r>
              <w:t xml:space="preserve">Постановление </w:t>
            </w:r>
            <w:r>
              <w:br/>
              <w:t>Совета Министров</w:t>
            </w:r>
            <w:r>
              <w:br/>
              <w:t>Республики Беларусь</w:t>
            </w:r>
            <w:r>
              <w:br/>
              <w:t>09.07.2013 № 603</w:t>
            </w:r>
            <w:r>
              <w:br/>
              <w:t xml:space="preserve">(в редакции постановления </w:t>
            </w:r>
            <w:r>
              <w:br/>
              <w:t xml:space="preserve">Совета Министров </w:t>
            </w:r>
            <w:r>
              <w:br/>
              <w:t>Республики Беларусь</w:t>
            </w:r>
            <w:r>
              <w:br/>
              <w:t>03.06.2020 № 330)</w:t>
            </w:r>
          </w:p>
        </w:tc>
      </w:tr>
    </w:tbl>
    <w:p w:rsidR="00110321" w:rsidRDefault="00110321">
      <w:pPr>
        <w:pStyle w:val="titleu"/>
      </w:pPr>
      <w:r>
        <w:t>СОСТАВ</w:t>
      </w:r>
      <w:r>
        <w:br/>
        <w:t>Межведомственного совета по рекламе</w:t>
      </w:r>
    </w:p>
    <w:tbl>
      <w:tblPr>
        <w:tblW w:w="5000" w:type="pct"/>
        <w:tblCellMar>
          <w:left w:w="0" w:type="dxa"/>
          <w:right w:w="0" w:type="dxa"/>
        </w:tblCellMar>
        <w:tblLook w:val="04A0" w:firstRow="1" w:lastRow="0" w:firstColumn="1" w:lastColumn="0" w:noHBand="0" w:noVBand="1"/>
      </w:tblPr>
      <w:tblGrid>
        <w:gridCol w:w="2887"/>
        <w:gridCol w:w="379"/>
        <w:gridCol w:w="6103"/>
      </w:tblGrid>
      <w:tr w:rsidR="00110321">
        <w:trPr>
          <w:trHeight w:val="240"/>
        </w:trPr>
        <w:tc>
          <w:tcPr>
            <w:tcW w:w="1541" w:type="pct"/>
            <w:tcMar>
              <w:top w:w="0" w:type="dxa"/>
              <w:left w:w="6" w:type="dxa"/>
              <w:bottom w:w="0" w:type="dxa"/>
              <w:right w:w="6" w:type="dxa"/>
            </w:tcMar>
            <w:hideMark/>
          </w:tcPr>
          <w:p w:rsidR="00110321" w:rsidRDefault="00110321">
            <w:pPr>
              <w:pStyle w:val="spiski"/>
            </w:pPr>
            <w:proofErr w:type="spellStart"/>
            <w:r>
              <w:t>Колтович</w:t>
            </w:r>
            <w:proofErr w:type="spellEnd"/>
            <w:r>
              <w:t xml:space="preserve"> </w:t>
            </w:r>
            <w:r>
              <w:br/>
              <w:t>Владимир Васильевич</w:t>
            </w:r>
          </w:p>
        </w:tc>
        <w:tc>
          <w:tcPr>
            <w:tcW w:w="202" w:type="pct"/>
            <w:tcMar>
              <w:top w:w="0" w:type="dxa"/>
              <w:left w:w="6" w:type="dxa"/>
              <w:bottom w:w="0" w:type="dxa"/>
              <w:right w:w="6" w:type="dxa"/>
            </w:tcMar>
            <w:hideMark/>
          </w:tcPr>
          <w:p w:rsidR="00110321" w:rsidRDefault="00110321">
            <w:pPr>
              <w:pStyle w:val="spiski"/>
              <w:jc w:val="center"/>
            </w:pPr>
            <w:r>
              <w:t>–</w:t>
            </w:r>
          </w:p>
        </w:tc>
        <w:tc>
          <w:tcPr>
            <w:tcW w:w="3257" w:type="pct"/>
            <w:tcMar>
              <w:top w:w="0" w:type="dxa"/>
              <w:left w:w="6" w:type="dxa"/>
              <w:bottom w:w="0" w:type="dxa"/>
              <w:right w:w="6" w:type="dxa"/>
            </w:tcMar>
            <w:hideMark/>
          </w:tcPr>
          <w:p w:rsidR="00110321" w:rsidRDefault="00110321">
            <w:pPr>
              <w:pStyle w:val="spiski"/>
            </w:pPr>
            <w:r>
              <w:t xml:space="preserve">Министр антимонопольного регулирования и торговли (председатель Межведомственного совета)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r>
              <w:t xml:space="preserve">Константинович </w:t>
            </w:r>
            <w:r>
              <w:br/>
              <w:t xml:space="preserve">Оксана Валерьевна </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заместитель Министра антимонопольного регулирования и торговли (заместитель председателя Межведомственного совета)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r>
              <w:t xml:space="preserve">Кравцова </w:t>
            </w:r>
            <w:r>
              <w:br/>
              <w:t>Ольга Борисовна</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начальник сектора по рекламе управления защиты прав потребителей и контроля за рекламой Министерства антимонопольного регулирования и торговли (секретарь Межведомственного совета)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r>
              <w:t xml:space="preserve">Гаврильчик </w:t>
            </w:r>
            <w:r>
              <w:br/>
              <w:t>Инна Анатольевна</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начальник управления защиты прав потребителей и контроля за рекламой Министерства антимонопольного регулирования и торговли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r>
              <w:t xml:space="preserve">Бельская </w:t>
            </w:r>
            <w:r>
              <w:br/>
              <w:t>Надежда Петровна</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начальник информационно-аналитического управления Министерства информации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proofErr w:type="spellStart"/>
            <w:r>
              <w:t>Боднарь</w:t>
            </w:r>
            <w:proofErr w:type="spellEnd"/>
            <w:r>
              <w:t xml:space="preserve"> </w:t>
            </w:r>
            <w:r>
              <w:br/>
              <w:t>Валерий Анатольевич</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исполнительный директор Ассоциации рекламных организаций*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proofErr w:type="spellStart"/>
            <w:r>
              <w:t>Бородун</w:t>
            </w:r>
            <w:proofErr w:type="spellEnd"/>
            <w:r>
              <w:t xml:space="preserve"> </w:t>
            </w:r>
            <w:r>
              <w:br/>
              <w:t xml:space="preserve">Юлия Александровна </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пресс-секретарь Министерства здравоохранения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proofErr w:type="spellStart"/>
            <w:r>
              <w:t>Булавко</w:t>
            </w:r>
            <w:proofErr w:type="spellEnd"/>
            <w:r>
              <w:t xml:space="preserve"> </w:t>
            </w:r>
            <w:r>
              <w:br/>
              <w:t>Игорь Михайлович</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начальник главного управления идеологической работы и по делам молодежи Гродненского облисполкома</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proofErr w:type="spellStart"/>
            <w:r>
              <w:t>Воляк</w:t>
            </w:r>
            <w:proofErr w:type="spellEnd"/>
            <w:r>
              <w:t xml:space="preserve"> </w:t>
            </w:r>
            <w:r>
              <w:br/>
              <w:t>Сергей Леонидович</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главный директор главной дирекции продаж и маркетинга Национальной государственной телерадиокомпании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r>
              <w:t xml:space="preserve">Ворон </w:t>
            </w:r>
            <w:r>
              <w:br/>
              <w:t>Петр Григорьевич</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начальник отдела физической культуры управления планирования и организационной работы Министерства спорта и туризма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r>
              <w:t xml:space="preserve">Высоцкая </w:t>
            </w:r>
            <w:r>
              <w:br/>
              <w:t xml:space="preserve">Людмила </w:t>
            </w:r>
            <w:proofErr w:type="spellStart"/>
            <w:r>
              <w:t>Юльяновна</w:t>
            </w:r>
            <w:proofErr w:type="spellEnd"/>
            <w:r>
              <w:t xml:space="preserve"> </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пресс-секретарь Министерства образования</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proofErr w:type="spellStart"/>
            <w:r>
              <w:t>Гремешкевич</w:t>
            </w:r>
            <w:proofErr w:type="spellEnd"/>
            <w:r>
              <w:t xml:space="preserve"> </w:t>
            </w:r>
            <w:r>
              <w:br/>
              <w:t>Игорь Станиславович</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начальник 2-го отдела управления информации главного управления идеологической работы Министерства обороны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r>
              <w:t xml:space="preserve">Демешко </w:t>
            </w:r>
            <w:r>
              <w:br/>
              <w:t>Светлана Михайловна</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заместитель директора по административно-хозяйственной работе научно-методического учреждения «Национальный институт образования» Министерства образования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r>
              <w:t xml:space="preserve">Дмитрук </w:t>
            </w:r>
            <w:r>
              <w:br/>
              <w:t>Елена Георгиевна</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заместитель начальника учреждения «Научно-исследовательский институт пожарной безопасности и проблем чрезвычайных ситуаций» Министерства по чрезвычайным ситуациям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r>
              <w:t xml:space="preserve">Иванович </w:t>
            </w:r>
            <w:r>
              <w:br/>
              <w:t>Ирина Петровна</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заместитель начальника главного управления торговли и услуг Минского облисполкома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r>
              <w:t xml:space="preserve">Калачева </w:t>
            </w:r>
            <w:r>
              <w:br/>
              <w:t>Ирина Ивановна</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заведующая кафедрой социальной коммуникации факультета философии и социальных наук Белорусского государственного университета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proofErr w:type="spellStart"/>
            <w:r>
              <w:t>Каразей</w:t>
            </w:r>
            <w:proofErr w:type="spellEnd"/>
            <w:r>
              <w:t xml:space="preserve"> </w:t>
            </w:r>
            <w:r>
              <w:br/>
              <w:t>Олег Георгиевич</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заместитель начальника главного управления – начальник управления профилактики главного управления охраны правопорядка и профилактики милиции общественной безопасности Министерства внутренних дел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proofErr w:type="spellStart"/>
            <w:r>
              <w:t>Кручко</w:t>
            </w:r>
            <w:proofErr w:type="spellEnd"/>
            <w:r>
              <w:t xml:space="preserve"> </w:t>
            </w:r>
            <w:r>
              <w:br/>
              <w:t>Татьяна Леонидовна</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заместитель начальника главного управления идеологической работы, культуры и по делам молодежи Гомельского облисполкома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r>
              <w:t xml:space="preserve">Левкович </w:t>
            </w:r>
            <w:r>
              <w:br/>
              <w:t>Ирина Петровна</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начальник главного управления торговли и услуг Витебского облисполкома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proofErr w:type="spellStart"/>
            <w:r>
              <w:t>Летняк</w:t>
            </w:r>
            <w:proofErr w:type="spellEnd"/>
            <w:r>
              <w:t xml:space="preserve"> </w:t>
            </w:r>
            <w:r>
              <w:br/>
              <w:t>Ирина Васильевна</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начальник отдела по контролю за рекламой главного управления торговли и услуг Минского горисполкома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r>
              <w:t xml:space="preserve">Лупанов </w:t>
            </w:r>
            <w:r>
              <w:br/>
              <w:t>Михаил Владимирович</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председатель Союза предпринимателей и предприятий наружной рекламы, член правления Бизнес-союза предпринимателей и нанимателей имени профессора </w:t>
            </w:r>
            <w:proofErr w:type="spellStart"/>
            <w:r>
              <w:t>М.С.Кунявского</w:t>
            </w:r>
            <w:proofErr w:type="spellEnd"/>
            <w:r>
              <w:t xml:space="preserve">*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proofErr w:type="spellStart"/>
            <w:r>
              <w:t>Насеня</w:t>
            </w:r>
            <w:proofErr w:type="spellEnd"/>
            <w:r>
              <w:t xml:space="preserve"> </w:t>
            </w:r>
            <w:r>
              <w:br/>
              <w:t xml:space="preserve">Владимир </w:t>
            </w:r>
            <w:proofErr w:type="spellStart"/>
            <w:r>
              <w:t>Селивестрович</w:t>
            </w:r>
            <w:proofErr w:type="spellEnd"/>
            <w:r>
              <w:t xml:space="preserve"> </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начальник управления государственных специальных культурных мероприятий – заместитель начальника главного управления культурных мероприятий и профессионального искусства Министерства культуры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r>
              <w:t xml:space="preserve">Сазонов </w:t>
            </w:r>
            <w:r>
              <w:br/>
              <w:t>Александр Юрьевич</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исполнительный директор по наружной рекламе и член совета Ассоциации коммуникационных и маркетинговых агентств*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proofErr w:type="spellStart"/>
            <w:r>
              <w:t>Самкин</w:t>
            </w:r>
            <w:proofErr w:type="spellEnd"/>
            <w:r>
              <w:t xml:space="preserve"> </w:t>
            </w:r>
            <w:r>
              <w:br/>
              <w:t>Игорь Викторович</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заместитель председателя Республиканского союза промышленников и предпринимателей, член совета республиканского общественного объединения «Белорусская научно-промышленная ассоциация»*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r>
              <w:t xml:space="preserve">Сильвестрович </w:t>
            </w:r>
            <w:r>
              <w:br/>
              <w:t>Олег Константинович</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начальник главного управления по </w:t>
            </w:r>
            <w:proofErr w:type="spellStart"/>
            <w:r>
              <w:t>наркоконтролю</w:t>
            </w:r>
            <w:proofErr w:type="spellEnd"/>
            <w:r>
              <w:t xml:space="preserve"> и противодействию торговле людьми криминальной милиции Министерства внутренних дел</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r>
              <w:t xml:space="preserve">Соловьев </w:t>
            </w:r>
            <w:r>
              <w:br/>
              <w:t>Павел Леонидович</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директор по стратегическим коммуникациям общества с ограниченной ответственностью «АРС </w:t>
            </w:r>
            <w:proofErr w:type="spellStart"/>
            <w:r>
              <w:t>Коммюникейшенз</w:t>
            </w:r>
            <w:proofErr w:type="spellEnd"/>
            <w:r>
              <w:t xml:space="preserve">»*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r>
              <w:t xml:space="preserve">Терещенко </w:t>
            </w:r>
            <w:r>
              <w:br/>
              <w:t xml:space="preserve">Ольга </w:t>
            </w:r>
            <w:proofErr w:type="spellStart"/>
            <w:r>
              <w:t>Викентовна</w:t>
            </w:r>
            <w:proofErr w:type="spellEnd"/>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профессор кафедры социальной коммуникации факультета философии и социальных наук Белорусского государственного университета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r>
              <w:t xml:space="preserve">Титова </w:t>
            </w:r>
            <w:r>
              <w:br/>
              <w:t xml:space="preserve">Вероника Александровна </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заместитель начальника главного управления торговли и услуг Могилевского облисполкома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proofErr w:type="spellStart"/>
            <w:r>
              <w:t>Углянец</w:t>
            </w:r>
            <w:proofErr w:type="spellEnd"/>
            <w:r>
              <w:t xml:space="preserve"> </w:t>
            </w:r>
            <w:r>
              <w:br/>
              <w:t>Вадим Леонидович</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заместитель начальника главного управления торговли и услуг Брестского облисполкома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r>
              <w:t xml:space="preserve">Устинович </w:t>
            </w:r>
            <w:r>
              <w:br/>
              <w:t>Алена Александровна</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председатель правления Ассоциации коммуникационных и маркетинговых агентств*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proofErr w:type="spellStart"/>
            <w:r>
              <w:t>Шкут</w:t>
            </w:r>
            <w:proofErr w:type="spellEnd"/>
            <w:r>
              <w:t xml:space="preserve"> </w:t>
            </w:r>
            <w:r>
              <w:br/>
              <w:t>Сергей Петрович</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начальник главного управления развития налоговых органов Министерства по налогам и сборам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proofErr w:type="spellStart"/>
            <w:r>
              <w:t>Штин</w:t>
            </w:r>
            <w:proofErr w:type="spellEnd"/>
            <w:r>
              <w:t xml:space="preserve"> </w:t>
            </w:r>
            <w:r>
              <w:br/>
              <w:t>Ольга Михайловна</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 xml:space="preserve">пресс-секретарь Министерства труда и социальной защиты </w:t>
            </w:r>
          </w:p>
        </w:tc>
      </w:tr>
      <w:tr w:rsidR="00110321">
        <w:trPr>
          <w:trHeight w:val="240"/>
        </w:trPr>
        <w:tc>
          <w:tcPr>
            <w:tcW w:w="1541" w:type="pct"/>
            <w:tcMar>
              <w:top w:w="0" w:type="dxa"/>
              <w:left w:w="6" w:type="dxa"/>
              <w:bottom w:w="0" w:type="dxa"/>
              <w:right w:w="6" w:type="dxa"/>
            </w:tcMar>
            <w:hideMark/>
          </w:tcPr>
          <w:p w:rsidR="00110321" w:rsidRDefault="00110321">
            <w:pPr>
              <w:pStyle w:val="spiski"/>
              <w:spacing w:before="120"/>
            </w:pPr>
            <w:proofErr w:type="spellStart"/>
            <w:r>
              <w:t>Явинская</w:t>
            </w:r>
            <w:proofErr w:type="spellEnd"/>
            <w:r>
              <w:t xml:space="preserve"> </w:t>
            </w:r>
            <w:r>
              <w:br/>
              <w:t>Юлия Вадимовна</w:t>
            </w:r>
          </w:p>
        </w:tc>
        <w:tc>
          <w:tcPr>
            <w:tcW w:w="202" w:type="pct"/>
            <w:tcMar>
              <w:top w:w="0" w:type="dxa"/>
              <w:left w:w="6" w:type="dxa"/>
              <w:bottom w:w="0" w:type="dxa"/>
              <w:right w:w="6" w:type="dxa"/>
            </w:tcMar>
            <w:hideMark/>
          </w:tcPr>
          <w:p w:rsidR="00110321" w:rsidRDefault="00110321">
            <w:pPr>
              <w:pStyle w:val="spiski"/>
              <w:spacing w:before="120"/>
              <w:jc w:val="center"/>
            </w:pPr>
            <w:r>
              <w:t>–</w:t>
            </w:r>
          </w:p>
        </w:tc>
        <w:tc>
          <w:tcPr>
            <w:tcW w:w="3257" w:type="pct"/>
            <w:tcMar>
              <w:top w:w="0" w:type="dxa"/>
              <w:left w:w="6" w:type="dxa"/>
              <w:bottom w:w="0" w:type="dxa"/>
              <w:right w:w="6" w:type="dxa"/>
            </w:tcMar>
            <w:hideMark/>
          </w:tcPr>
          <w:p w:rsidR="00110321" w:rsidRDefault="00110321">
            <w:pPr>
              <w:pStyle w:val="spiski"/>
              <w:spacing w:before="120"/>
            </w:pPr>
            <w:r>
              <w:t>доцент кафедры технологий коммуникации и связей с общественностью факультета журналистики Белорусского государственного университета</w:t>
            </w:r>
          </w:p>
        </w:tc>
      </w:tr>
    </w:tbl>
    <w:p w:rsidR="00110321" w:rsidRDefault="00110321">
      <w:pPr>
        <w:pStyle w:val="newncpi"/>
      </w:pPr>
      <w:r>
        <w:t> </w:t>
      </w:r>
    </w:p>
    <w:p w:rsidR="00110321" w:rsidRDefault="00110321">
      <w:pPr>
        <w:pStyle w:val="snoskiline"/>
      </w:pPr>
      <w:r>
        <w:t>______________________________</w:t>
      </w:r>
    </w:p>
    <w:p w:rsidR="00110321" w:rsidRDefault="00110321">
      <w:pPr>
        <w:pStyle w:val="snoski"/>
        <w:spacing w:after="240"/>
      </w:pPr>
      <w:r>
        <w:t xml:space="preserve">* </w:t>
      </w:r>
      <w:proofErr w:type="gramStart"/>
      <w:r>
        <w:t>С</w:t>
      </w:r>
      <w:proofErr w:type="gramEnd"/>
      <w:r>
        <w:t> его (ее) согласия.</w:t>
      </w:r>
    </w:p>
    <w:p w:rsidR="00110321" w:rsidRDefault="00110321">
      <w:pPr>
        <w:pStyle w:val="newncpi"/>
      </w:pPr>
      <w:r>
        <w:t> </w:t>
      </w:r>
    </w:p>
    <w:p w:rsidR="00110321" w:rsidRDefault="00110321">
      <w:pPr>
        <w:pStyle w:val="newncpi"/>
      </w:pPr>
      <w:r>
        <w:t> </w:t>
      </w:r>
    </w:p>
    <w:tbl>
      <w:tblPr>
        <w:tblW w:w="5000" w:type="pct"/>
        <w:tblCellMar>
          <w:left w:w="0" w:type="dxa"/>
          <w:right w:w="0" w:type="dxa"/>
        </w:tblCellMar>
        <w:tblLook w:val="04A0" w:firstRow="1" w:lastRow="0" w:firstColumn="1" w:lastColumn="0" w:noHBand="0" w:noVBand="1"/>
      </w:tblPr>
      <w:tblGrid>
        <w:gridCol w:w="6611"/>
        <w:gridCol w:w="2758"/>
      </w:tblGrid>
      <w:tr w:rsidR="00110321">
        <w:tc>
          <w:tcPr>
            <w:tcW w:w="3528" w:type="pct"/>
            <w:tcMar>
              <w:top w:w="0" w:type="dxa"/>
              <w:left w:w="6" w:type="dxa"/>
              <w:bottom w:w="0" w:type="dxa"/>
              <w:right w:w="6" w:type="dxa"/>
            </w:tcMar>
            <w:hideMark/>
          </w:tcPr>
          <w:p w:rsidR="00110321" w:rsidRDefault="00110321">
            <w:pPr>
              <w:pStyle w:val="cap1"/>
            </w:pPr>
            <w:r>
              <w:t> </w:t>
            </w:r>
          </w:p>
        </w:tc>
        <w:tc>
          <w:tcPr>
            <w:tcW w:w="1472" w:type="pct"/>
            <w:tcMar>
              <w:top w:w="0" w:type="dxa"/>
              <w:left w:w="6" w:type="dxa"/>
              <w:bottom w:w="0" w:type="dxa"/>
              <w:right w:w="6" w:type="dxa"/>
            </w:tcMar>
            <w:hideMark/>
          </w:tcPr>
          <w:p w:rsidR="00110321" w:rsidRDefault="00110321">
            <w:pPr>
              <w:pStyle w:val="capu1"/>
            </w:pPr>
            <w:r>
              <w:t>УТВЕРЖДЕНО</w:t>
            </w:r>
          </w:p>
          <w:p w:rsidR="00110321" w:rsidRDefault="00110321">
            <w:pPr>
              <w:pStyle w:val="cap1"/>
            </w:pPr>
            <w:r>
              <w:t>Постановление</w:t>
            </w:r>
          </w:p>
          <w:p w:rsidR="00110321" w:rsidRDefault="00110321">
            <w:pPr>
              <w:pStyle w:val="cap1"/>
            </w:pPr>
            <w:r>
              <w:t>Совета Министров</w:t>
            </w:r>
          </w:p>
          <w:p w:rsidR="00110321" w:rsidRDefault="00110321">
            <w:pPr>
              <w:pStyle w:val="cap1"/>
            </w:pPr>
            <w:r>
              <w:t>Республики Беларусь</w:t>
            </w:r>
          </w:p>
          <w:p w:rsidR="00110321" w:rsidRDefault="00110321">
            <w:pPr>
              <w:pStyle w:val="cap1"/>
            </w:pPr>
            <w:r>
              <w:t>25.03.1998 № 460</w:t>
            </w:r>
          </w:p>
          <w:p w:rsidR="00110321" w:rsidRDefault="00110321">
            <w:pPr>
              <w:pStyle w:val="cap1"/>
            </w:pPr>
            <w:r>
              <w:t>(в редакции постановления</w:t>
            </w:r>
          </w:p>
          <w:p w:rsidR="00110321" w:rsidRDefault="00110321">
            <w:pPr>
              <w:pStyle w:val="cap1"/>
            </w:pPr>
            <w:r>
              <w:t>Совета Министров</w:t>
            </w:r>
          </w:p>
          <w:p w:rsidR="00110321" w:rsidRDefault="00110321">
            <w:pPr>
              <w:pStyle w:val="cap1"/>
            </w:pPr>
            <w:r>
              <w:t>Республики Беларусь</w:t>
            </w:r>
          </w:p>
          <w:p w:rsidR="00110321" w:rsidRDefault="00110321">
            <w:pPr>
              <w:pStyle w:val="cap1"/>
            </w:pPr>
            <w:r>
              <w:t>09.07.2013 № 603)</w:t>
            </w:r>
          </w:p>
        </w:tc>
      </w:tr>
    </w:tbl>
    <w:p w:rsidR="00110321" w:rsidRDefault="00110321">
      <w:pPr>
        <w:pStyle w:val="titleu"/>
      </w:pPr>
      <w:r>
        <w:t xml:space="preserve">ПОЛОЖЕНИЕ </w:t>
      </w:r>
      <w:r>
        <w:br/>
        <w:t>о Межведомственном совете по рекламе</w:t>
      </w:r>
    </w:p>
    <w:p w:rsidR="00110321" w:rsidRDefault="00110321">
      <w:pPr>
        <w:pStyle w:val="point"/>
      </w:pPr>
      <w:r>
        <w:t xml:space="preserve">1. Межведомственный совет по рекламе (далее – Межведомственный совет) создается в целях совершенствования взаимодействия государственных органов и иных организаций, </w:t>
      </w:r>
      <w:proofErr w:type="spellStart"/>
      <w:r>
        <w:t>рекламопроизводителей</w:t>
      </w:r>
      <w:proofErr w:type="spellEnd"/>
      <w:r>
        <w:t xml:space="preserve">, </w:t>
      </w:r>
      <w:proofErr w:type="spellStart"/>
      <w:r>
        <w:t>рекламораспространителей</w:t>
      </w:r>
      <w:proofErr w:type="spellEnd"/>
      <w:r>
        <w:t xml:space="preserve"> по вопросам создания благоприятных условий для устойчивого развития рекламного рынка в Республике Беларусь, защиты общества от ненадлежащей рекламы, а также для выработки рекомендаций по проведению единой государственной политики в области рекламы, регулированию рекламной деятельности, оценки качества социальной рекламы.</w:t>
      </w:r>
    </w:p>
    <w:p w:rsidR="00110321" w:rsidRDefault="00110321">
      <w:pPr>
        <w:pStyle w:val="newncpi"/>
      </w:pPr>
      <w:r>
        <w:t>Межведомственный совет осуществляет свою деятельность на общественных началах.</w:t>
      </w:r>
    </w:p>
    <w:p w:rsidR="00110321" w:rsidRDefault="00110321">
      <w:pPr>
        <w:pStyle w:val="point"/>
      </w:pPr>
      <w:r>
        <w:t>2. Межведомственный совет в своей деятельности руководствуется Конституцией Республики Беларусь, Законом Республики Беларусь от 10 мая 2007 года «О рекламе» (Национальный реестр правовых актов Республики Беларусь, 2007 г., № 119, 2/1321), настоящим Положением и иными актами законодательства.</w:t>
      </w:r>
    </w:p>
    <w:p w:rsidR="00110321" w:rsidRDefault="00110321">
      <w:pPr>
        <w:pStyle w:val="point"/>
      </w:pPr>
      <w:r>
        <w:t>3. Основными задачами Межведомственного совета являются:</w:t>
      </w:r>
    </w:p>
    <w:p w:rsidR="00110321" w:rsidRDefault="00110321">
      <w:pPr>
        <w:pStyle w:val="newncpi"/>
      </w:pPr>
      <w:r>
        <w:t xml:space="preserve">организация взаимодействия между государственными органами, рекламодателями, </w:t>
      </w:r>
      <w:proofErr w:type="spellStart"/>
      <w:r>
        <w:t>рекламопроизводителями</w:t>
      </w:r>
      <w:proofErr w:type="spellEnd"/>
      <w:r>
        <w:t xml:space="preserve">, </w:t>
      </w:r>
      <w:proofErr w:type="spellStart"/>
      <w:r>
        <w:t>рекламораспространителями</w:t>
      </w:r>
      <w:proofErr w:type="spellEnd"/>
      <w:r>
        <w:t xml:space="preserve"> и потребителями рекламы по вопросам создания и (или) совершенствования правовых условий для производства, размещения (распространения) рекламы;</w:t>
      </w:r>
    </w:p>
    <w:p w:rsidR="00110321" w:rsidRDefault="00110321">
      <w:pPr>
        <w:pStyle w:val="newncpi"/>
      </w:pPr>
      <w:r>
        <w:t>анализ практики применения Закона Республики Беларусь «О рекламе» и иных актов законодательства, регулирующих отношения в области производства, размещения (распространения) рекламы;</w:t>
      </w:r>
    </w:p>
    <w:p w:rsidR="00110321" w:rsidRDefault="00110321">
      <w:pPr>
        <w:pStyle w:val="newncpi"/>
      </w:pPr>
      <w:r>
        <w:t>предупреждение споров и конфликтов по вопросам соблюдения законодательства о рекламе и содействие в их разрешении;</w:t>
      </w:r>
    </w:p>
    <w:p w:rsidR="00110321" w:rsidRDefault="00110321">
      <w:pPr>
        <w:pStyle w:val="newncpi"/>
      </w:pPr>
      <w:r>
        <w:t>оценка качества социальной рекламы;</w:t>
      </w:r>
    </w:p>
    <w:p w:rsidR="00110321" w:rsidRDefault="00110321">
      <w:pPr>
        <w:pStyle w:val="newncpi"/>
      </w:pPr>
      <w:r>
        <w:t>содействие становлению и развитию рынка рекламных услуг;</w:t>
      </w:r>
    </w:p>
    <w:p w:rsidR="00110321" w:rsidRDefault="00110321">
      <w:pPr>
        <w:pStyle w:val="newncpi"/>
      </w:pPr>
      <w:r>
        <w:t>содействие в организации и проведении мероприятий, направленных на поддержку добросовестной конкуренции в рекламе;</w:t>
      </w:r>
    </w:p>
    <w:p w:rsidR="00110321" w:rsidRDefault="00110321">
      <w:pPr>
        <w:pStyle w:val="newncpi"/>
      </w:pPr>
      <w:r>
        <w:t>анализ зарубежного опыта регулирования и контроля в области рекламы;</w:t>
      </w:r>
    </w:p>
    <w:p w:rsidR="00110321" w:rsidRDefault="00110321">
      <w:pPr>
        <w:pStyle w:val="newncpi"/>
      </w:pPr>
      <w:r>
        <w:t>организация изучения общественного мнения по вопросам размещения (распространения) рекламы.</w:t>
      </w:r>
    </w:p>
    <w:p w:rsidR="00110321" w:rsidRDefault="00110321">
      <w:pPr>
        <w:pStyle w:val="point"/>
      </w:pPr>
      <w:r>
        <w:t>4. Межведомственный совет имеет право:</w:t>
      </w:r>
    </w:p>
    <w:p w:rsidR="00110321" w:rsidRDefault="00110321">
      <w:pPr>
        <w:pStyle w:val="newncpi"/>
      </w:pPr>
      <w:r>
        <w:t>участвовать в разработке предложений о совершенствовании законодательства в области рекламы;</w:t>
      </w:r>
    </w:p>
    <w:p w:rsidR="00110321" w:rsidRDefault="00110321">
      <w:pPr>
        <w:pStyle w:val="newncpi"/>
      </w:pPr>
      <w:r>
        <w:t>оценивать качество социальной рекламы;</w:t>
      </w:r>
    </w:p>
    <w:p w:rsidR="00110321" w:rsidRDefault="00110321">
      <w:pPr>
        <w:pStyle w:val="newncpi"/>
      </w:pPr>
      <w:r>
        <w:t>создавать рабочие группы для решения задач Межведомственного совета, в том числе для оценки качества социальной рекламы;</w:t>
      </w:r>
    </w:p>
    <w:p w:rsidR="00110321" w:rsidRDefault="00110321">
      <w:pPr>
        <w:pStyle w:val="newncpi"/>
      </w:pPr>
      <w:r>
        <w:t>инициировать производство, размещение (распространение) социальной рекламы, разрабатывать рекомендации по тематике социальной рекламы;</w:t>
      </w:r>
    </w:p>
    <w:p w:rsidR="00110321" w:rsidRDefault="00110321">
      <w:pPr>
        <w:pStyle w:val="newncpi"/>
      </w:pPr>
      <w:r>
        <w:t>формулировать мнение Межведомственного совета о качестве рекламы, не являющейся социальной рекламой, соответствии ее общепринятым нормам морали и нравственности и иным требованиям законодательства о рекламе, участвовать в проведении независимой экспертизы рекламы;</w:t>
      </w:r>
    </w:p>
    <w:p w:rsidR="00110321" w:rsidRDefault="00110321">
      <w:pPr>
        <w:pStyle w:val="newncpi"/>
      </w:pPr>
      <w:r>
        <w:t>давать рекомендации государственным органам по предупреждению и пресечению нарушений в области рекламы;</w:t>
      </w:r>
    </w:p>
    <w:p w:rsidR="00110321" w:rsidRDefault="00110321">
      <w:pPr>
        <w:pStyle w:val="newncpi"/>
      </w:pPr>
      <w:r>
        <w:t>формулировать и доводить до государственных органов, иных заинтересованных организаций и граждан мнение Межведомственного совета по актуальным вопросам производства, размещения (распространения) рекламы;</w:t>
      </w:r>
    </w:p>
    <w:p w:rsidR="00110321" w:rsidRDefault="00110321">
      <w:pPr>
        <w:pStyle w:val="newncpi"/>
      </w:pPr>
      <w:r>
        <w:t>запрашивать и (или) получать от государственных органов, других организаций и граждан, участвующих в процессе производства, размещения (распространения) рекламы, необходимую информацию по вопросам компетенции Совета.</w:t>
      </w:r>
    </w:p>
    <w:p w:rsidR="00110321" w:rsidRDefault="00110321">
      <w:pPr>
        <w:pStyle w:val="point"/>
      </w:pPr>
      <w:r>
        <w:t>5. Состав Межведомственного совета формируется из представителей государственных органов, иных государственных организаций, подчиненных Правительству Республики Беларусь, местных исполнительных и распорядительных органов, а также иных организаций, способных обеспечить научное, экспертное или профессиональное мнение по вопросам производства, размещения (распространения) рекламы.</w:t>
      </w:r>
    </w:p>
    <w:p w:rsidR="00110321" w:rsidRDefault="00110321">
      <w:pPr>
        <w:pStyle w:val="newncpi"/>
      </w:pPr>
      <w:r>
        <w:t>Для работы в Межведомственном совете могут привлекаться (с их согласия) научные работники, эксперты, преподаватели высших учебных заведений и иные лица, способные обеспечить научное, экспертное или профессиональное мнение по вопросам производства, размещения (распространения) рекламы.</w:t>
      </w:r>
    </w:p>
    <w:p w:rsidR="00110321" w:rsidRDefault="00110321">
      <w:pPr>
        <w:pStyle w:val="point"/>
      </w:pPr>
      <w:r>
        <w:t>6. Председателем Межведомственного совета является Министр торговли.</w:t>
      </w:r>
    </w:p>
    <w:p w:rsidR="00110321" w:rsidRDefault="00110321">
      <w:pPr>
        <w:pStyle w:val="newncpi"/>
      </w:pPr>
      <w:r>
        <w:t>Председатель Межведомственного совета:</w:t>
      </w:r>
    </w:p>
    <w:p w:rsidR="00110321" w:rsidRDefault="00110321">
      <w:pPr>
        <w:pStyle w:val="newncpi"/>
      </w:pPr>
      <w:r>
        <w:t>руководит деятельностью Межведомственного совета;</w:t>
      </w:r>
    </w:p>
    <w:p w:rsidR="00110321" w:rsidRDefault="00110321">
      <w:pPr>
        <w:pStyle w:val="newncpi"/>
      </w:pPr>
      <w:r>
        <w:t>созывает заседания Межведомственного совета, формирует их повестку дня, организует доведение ее до членов Межведомственного совета не позднее четырех дней до дня проведения заседания Межведомственного совета;</w:t>
      </w:r>
    </w:p>
    <w:p w:rsidR="00110321" w:rsidRDefault="00110321">
      <w:pPr>
        <w:pStyle w:val="newncpi"/>
      </w:pPr>
      <w:r>
        <w:t>координирует работу членов Межведомственного совета по выполнению решений и задач Межведомственного совета;</w:t>
      </w:r>
    </w:p>
    <w:p w:rsidR="00110321" w:rsidRDefault="00110321">
      <w:pPr>
        <w:pStyle w:val="newncpi"/>
      </w:pPr>
      <w:r>
        <w:t>контролирует деятельность созданных Межведомственным советом рабочих групп;</w:t>
      </w:r>
    </w:p>
    <w:p w:rsidR="00110321" w:rsidRDefault="00110321">
      <w:pPr>
        <w:pStyle w:val="newncpi"/>
      </w:pPr>
      <w:r>
        <w:t>представляет Межведомственный совет в отношениях с государственными органами, иными организациями и гражданами;</w:t>
      </w:r>
    </w:p>
    <w:p w:rsidR="00110321" w:rsidRDefault="00110321">
      <w:pPr>
        <w:pStyle w:val="newncpi"/>
      </w:pPr>
      <w:r>
        <w:t>осуществляет контроль за выполнением принятых Межведомственным советом решений;</w:t>
      </w:r>
    </w:p>
    <w:p w:rsidR="00110321" w:rsidRDefault="00110321">
      <w:pPr>
        <w:pStyle w:val="newncpi"/>
      </w:pPr>
      <w:r>
        <w:t>выполняет другие задачи и функции, возложенные на него Межведомственным советом.</w:t>
      </w:r>
    </w:p>
    <w:p w:rsidR="00110321" w:rsidRDefault="00110321">
      <w:pPr>
        <w:pStyle w:val="newncpi"/>
      </w:pPr>
      <w:r>
        <w:t>В отсутствие председателя Межведомственного совета его функции выполняет заместитель председателя Межведомственного совета.</w:t>
      </w:r>
    </w:p>
    <w:p w:rsidR="00110321" w:rsidRDefault="00110321">
      <w:pPr>
        <w:pStyle w:val="point"/>
      </w:pPr>
      <w:r>
        <w:t>7. Межведомственный совет подводит итоги своей работы не реже одного раза в год.</w:t>
      </w:r>
    </w:p>
    <w:p w:rsidR="00110321" w:rsidRDefault="00110321">
      <w:pPr>
        <w:pStyle w:val="point"/>
      </w:pPr>
      <w:r>
        <w:t>8. Делопроизводство Межведомственного совета ведет секретарь.</w:t>
      </w:r>
    </w:p>
    <w:p w:rsidR="00110321" w:rsidRDefault="00110321">
      <w:pPr>
        <w:pStyle w:val="point"/>
      </w:pPr>
      <w:r>
        <w:t>9. Состав рабочих групп и их руководители из числа членов Межведомственного совета утверждаются председателем Межведомственного совета.</w:t>
      </w:r>
    </w:p>
    <w:p w:rsidR="00110321" w:rsidRDefault="00110321">
      <w:pPr>
        <w:pStyle w:val="newncpi"/>
      </w:pPr>
      <w:r>
        <w:t>В состав рабочих групп кроме членов Межведомственного совета допускается включение приглашенных научных работников, экспертов, преподавателей высших учебных заведений и иных лиц, способных обеспечить научное, экспертное или профессиональное мнение по вопросам, для решения которых созданы рабочие группы.</w:t>
      </w:r>
    </w:p>
    <w:p w:rsidR="00110321" w:rsidRDefault="00110321">
      <w:pPr>
        <w:pStyle w:val="newncpi"/>
      </w:pPr>
      <w:r>
        <w:t>Заключение рабочей группы является основанием для принятия решения Межведомственного совета. Если на основании заключения рабочей группы решение Межведомственного совета не принимается, заключение возвращается в рабочую группу на доработку.</w:t>
      </w:r>
    </w:p>
    <w:p w:rsidR="00110321" w:rsidRDefault="00110321">
      <w:pPr>
        <w:pStyle w:val="newncpi"/>
      </w:pPr>
      <w:r>
        <w:t>В ходе оценки качества социальной рекламы соответствующая рабочая группа вправе запрашивать у рекламодателя социальной рекламы дополнительную информацию о процессах ее производства, размещения (распространения).</w:t>
      </w:r>
    </w:p>
    <w:p w:rsidR="00110321" w:rsidRDefault="00110321">
      <w:pPr>
        <w:pStyle w:val="point"/>
      </w:pPr>
      <w:r>
        <w:t>10. Решение Межведомственного совета принимается на его заседании путем голосования.</w:t>
      </w:r>
    </w:p>
    <w:p w:rsidR="00110321" w:rsidRDefault="00110321">
      <w:pPr>
        <w:pStyle w:val="newncpi"/>
      </w:pPr>
      <w:r>
        <w:t>Заседание Межведомственного совета является правомочным, если в нем приняло участие не менее 50 процентов членов Межведомственного совета.</w:t>
      </w:r>
    </w:p>
    <w:p w:rsidR="00110321" w:rsidRDefault="00110321">
      <w:pPr>
        <w:pStyle w:val="newncpi"/>
      </w:pPr>
      <w:r>
        <w:t>Допускается принятие решения Межведомственного совета без проведения заседания путем письменного опроса всех членов Межведомственного совета. Для этих целей членам Межведомственного совета направляется копия проекта протокола, которым оформляется решение Межведомственного совета. Опрашиваемый член Межведомственного совета в течение пяти рабочих дней со дня получения копии проекта протокола в случае согласия с изложенным в данном проекте протокола решением визирует копию проекта протокола либо в случае несогласия с изложенным в проекте протокола решением готовит мотивированный отказ в принятии решения. Завизированная копия проекта протокола или мотивированный отказ направляется в Межведомственный совет.</w:t>
      </w:r>
    </w:p>
    <w:p w:rsidR="00110321" w:rsidRDefault="00110321">
      <w:pPr>
        <w:pStyle w:val="newncpi"/>
      </w:pPr>
      <w:r>
        <w:t>Решение принимается большинством голосов присутствующих на заседании или опрошенных членов Межведомственного совета. Одной организации, входящей в состав Межведомственного совета, принадлежит один голос, независимо от количества представляющих ее членов. При равенстве голосов решающим голосом считается голос председателя Межведомственного совета.</w:t>
      </w:r>
    </w:p>
    <w:p w:rsidR="00110321" w:rsidRDefault="00110321">
      <w:pPr>
        <w:pStyle w:val="newncpi"/>
      </w:pPr>
      <w:r>
        <w:t>Протокол, которым оформлено решение Межведомственного совета, подписывается председателем Межведомственного совета, а также секретарем.</w:t>
      </w:r>
    </w:p>
    <w:p w:rsidR="00110321" w:rsidRDefault="00110321">
      <w:pPr>
        <w:pStyle w:val="newncpi"/>
      </w:pPr>
      <w:r>
        <w:t> </w:t>
      </w:r>
    </w:p>
    <w:p w:rsidR="004D17C8" w:rsidRDefault="004D17C8"/>
    <w:sectPr w:rsidR="004D17C8" w:rsidSect="00110321">
      <w:pgSz w:w="11920" w:h="16840"/>
      <w:pgMar w:top="567" w:right="1134" w:bottom="567" w:left="1417" w:header="28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321" w:rsidRDefault="00110321" w:rsidP="00110321">
      <w:r>
        <w:separator/>
      </w:r>
    </w:p>
  </w:endnote>
  <w:endnote w:type="continuationSeparator" w:id="0">
    <w:p w:rsidR="00110321" w:rsidRDefault="00110321" w:rsidP="0011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321" w:rsidRDefault="001103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321" w:rsidRDefault="001103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110321" w:rsidTr="00110321">
      <w:tc>
        <w:tcPr>
          <w:tcW w:w="1800" w:type="dxa"/>
          <w:shd w:val="clear" w:color="auto" w:fill="auto"/>
          <w:vAlign w:val="center"/>
        </w:tcPr>
        <w:p w:rsidR="00110321" w:rsidRDefault="00110321">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110321" w:rsidRDefault="00110321">
          <w:pPr>
            <w:pStyle w:val="a5"/>
            <w:rPr>
              <w:rFonts w:cs="Times New Roman"/>
              <w:i/>
              <w:sz w:val="24"/>
            </w:rPr>
          </w:pPr>
          <w:r>
            <w:rPr>
              <w:rFonts w:cs="Times New Roman"/>
              <w:i/>
              <w:sz w:val="24"/>
            </w:rPr>
            <w:t>Официальная правовая информация</w:t>
          </w:r>
        </w:p>
        <w:p w:rsidR="00110321" w:rsidRDefault="00110321">
          <w:pPr>
            <w:pStyle w:val="a5"/>
            <w:rPr>
              <w:rFonts w:cs="Times New Roman"/>
              <w:i/>
              <w:sz w:val="24"/>
            </w:rPr>
          </w:pPr>
          <w:r>
            <w:rPr>
              <w:rFonts w:cs="Times New Roman"/>
              <w:i/>
              <w:sz w:val="24"/>
            </w:rPr>
            <w:t>Информационно-поисковая система "ЭТАЛОН", 29.10.2021</w:t>
          </w:r>
        </w:p>
        <w:p w:rsidR="00110321" w:rsidRPr="00110321" w:rsidRDefault="00110321">
          <w:pPr>
            <w:pStyle w:val="a5"/>
            <w:rPr>
              <w:rFonts w:cs="Times New Roman"/>
              <w:i/>
              <w:sz w:val="24"/>
            </w:rPr>
          </w:pPr>
          <w:r>
            <w:rPr>
              <w:rFonts w:cs="Times New Roman"/>
              <w:i/>
              <w:sz w:val="24"/>
            </w:rPr>
            <w:t>Национальный центр правовой информации Республики Беларусь</w:t>
          </w:r>
        </w:p>
      </w:tc>
    </w:tr>
  </w:tbl>
  <w:p w:rsidR="00110321" w:rsidRDefault="001103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321" w:rsidRDefault="00110321" w:rsidP="00110321">
      <w:r>
        <w:separator/>
      </w:r>
    </w:p>
  </w:footnote>
  <w:footnote w:type="continuationSeparator" w:id="0">
    <w:p w:rsidR="00110321" w:rsidRDefault="00110321" w:rsidP="00110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321" w:rsidRDefault="00110321" w:rsidP="00D51A22">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110321" w:rsidRDefault="001103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321" w:rsidRPr="00110321" w:rsidRDefault="00110321" w:rsidP="00D51A22">
    <w:pPr>
      <w:pStyle w:val="a3"/>
      <w:framePr w:wrap="around" w:vAnchor="text" w:hAnchor="margin" w:xAlign="center" w:y="1"/>
      <w:rPr>
        <w:rStyle w:val="a7"/>
        <w:rFonts w:cs="Times New Roman"/>
        <w:sz w:val="24"/>
      </w:rPr>
    </w:pPr>
    <w:r w:rsidRPr="00110321">
      <w:rPr>
        <w:rStyle w:val="a7"/>
        <w:rFonts w:cs="Times New Roman"/>
        <w:sz w:val="24"/>
      </w:rPr>
      <w:fldChar w:fldCharType="begin"/>
    </w:r>
    <w:r w:rsidRPr="00110321">
      <w:rPr>
        <w:rStyle w:val="a7"/>
        <w:rFonts w:cs="Times New Roman"/>
        <w:sz w:val="24"/>
      </w:rPr>
      <w:instrText xml:space="preserve"> PAGE </w:instrText>
    </w:r>
    <w:r w:rsidRPr="00110321">
      <w:rPr>
        <w:rStyle w:val="a7"/>
        <w:rFonts w:cs="Times New Roman"/>
        <w:sz w:val="24"/>
      </w:rPr>
      <w:fldChar w:fldCharType="separate"/>
    </w:r>
    <w:r>
      <w:rPr>
        <w:rStyle w:val="a7"/>
        <w:rFonts w:cs="Times New Roman"/>
        <w:noProof/>
        <w:sz w:val="24"/>
      </w:rPr>
      <w:t>18</w:t>
    </w:r>
    <w:r w:rsidRPr="00110321">
      <w:rPr>
        <w:rStyle w:val="a7"/>
        <w:rFonts w:cs="Times New Roman"/>
        <w:sz w:val="24"/>
      </w:rPr>
      <w:fldChar w:fldCharType="end"/>
    </w:r>
  </w:p>
  <w:p w:rsidR="00110321" w:rsidRPr="00110321" w:rsidRDefault="00110321">
    <w:pPr>
      <w:pStyle w:val="a3"/>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321" w:rsidRDefault="001103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markup="0"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21"/>
    <w:rsid w:val="00110321"/>
    <w:rsid w:val="004D1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8F3C3B-16AF-433F-BC49-27EA5630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110321"/>
    <w:pPr>
      <w:spacing w:before="240" w:after="240"/>
      <w:ind w:right="2268"/>
    </w:pPr>
    <w:rPr>
      <w:rFonts w:eastAsia="Times New Roman" w:cs="Times New Roman"/>
      <w:b/>
      <w:bCs/>
      <w:szCs w:val="28"/>
      <w:lang w:eastAsia="ru-RU"/>
    </w:rPr>
  </w:style>
  <w:style w:type="paragraph" w:customStyle="1" w:styleId="titleu">
    <w:name w:val="titleu"/>
    <w:basedOn w:val="a"/>
    <w:rsid w:val="00110321"/>
    <w:pPr>
      <w:spacing w:before="240" w:after="240"/>
    </w:pPr>
    <w:rPr>
      <w:rFonts w:eastAsiaTheme="minorEastAsia" w:cs="Times New Roman"/>
      <w:b/>
      <w:bCs/>
      <w:sz w:val="24"/>
      <w:szCs w:val="24"/>
      <w:lang w:eastAsia="ru-RU"/>
    </w:rPr>
  </w:style>
  <w:style w:type="paragraph" w:customStyle="1" w:styleId="point">
    <w:name w:val="point"/>
    <w:basedOn w:val="a"/>
    <w:rsid w:val="00110321"/>
    <w:pPr>
      <w:ind w:firstLine="567"/>
      <w:jc w:val="both"/>
    </w:pPr>
    <w:rPr>
      <w:rFonts w:eastAsiaTheme="minorEastAsia" w:cs="Times New Roman"/>
      <w:sz w:val="24"/>
      <w:szCs w:val="24"/>
      <w:lang w:eastAsia="ru-RU"/>
    </w:rPr>
  </w:style>
  <w:style w:type="paragraph" w:customStyle="1" w:styleId="underpoint">
    <w:name w:val="underpoint"/>
    <w:basedOn w:val="a"/>
    <w:rsid w:val="00110321"/>
    <w:pPr>
      <w:ind w:firstLine="567"/>
      <w:jc w:val="both"/>
    </w:pPr>
    <w:rPr>
      <w:rFonts w:eastAsiaTheme="minorEastAsia" w:cs="Times New Roman"/>
      <w:sz w:val="24"/>
      <w:szCs w:val="24"/>
      <w:lang w:eastAsia="ru-RU"/>
    </w:rPr>
  </w:style>
  <w:style w:type="paragraph" w:customStyle="1" w:styleId="preamble">
    <w:name w:val="preamble"/>
    <w:basedOn w:val="a"/>
    <w:rsid w:val="00110321"/>
    <w:pPr>
      <w:ind w:firstLine="567"/>
      <w:jc w:val="both"/>
    </w:pPr>
    <w:rPr>
      <w:rFonts w:eastAsiaTheme="minorEastAsia" w:cs="Times New Roman"/>
      <w:sz w:val="24"/>
      <w:szCs w:val="24"/>
      <w:lang w:eastAsia="ru-RU"/>
    </w:rPr>
  </w:style>
  <w:style w:type="paragraph" w:customStyle="1" w:styleId="snoski">
    <w:name w:val="snoski"/>
    <w:basedOn w:val="a"/>
    <w:rsid w:val="00110321"/>
    <w:pPr>
      <w:ind w:firstLine="567"/>
      <w:jc w:val="both"/>
    </w:pPr>
    <w:rPr>
      <w:rFonts w:eastAsiaTheme="minorEastAsia" w:cs="Times New Roman"/>
      <w:sz w:val="20"/>
      <w:szCs w:val="20"/>
      <w:lang w:eastAsia="ru-RU"/>
    </w:rPr>
  </w:style>
  <w:style w:type="paragraph" w:customStyle="1" w:styleId="snoskiline">
    <w:name w:val="snoskiline"/>
    <w:basedOn w:val="a"/>
    <w:rsid w:val="00110321"/>
    <w:pPr>
      <w:jc w:val="both"/>
    </w:pPr>
    <w:rPr>
      <w:rFonts w:eastAsiaTheme="minorEastAsia" w:cs="Times New Roman"/>
      <w:sz w:val="20"/>
      <w:szCs w:val="20"/>
      <w:lang w:eastAsia="ru-RU"/>
    </w:rPr>
  </w:style>
  <w:style w:type="paragraph" w:customStyle="1" w:styleId="table10">
    <w:name w:val="table10"/>
    <w:basedOn w:val="a"/>
    <w:rsid w:val="00110321"/>
    <w:rPr>
      <w:rFonts w:eastAsiaTheme="minorEastAsia" w:cs="Times New Roman"/>
      <w:sz w:val="20"/>
      <w:szCs w:val="20"/>
      <w:lang w:eastAsia="ru-RU"/>
    </w:rPr>
  </w:style>
  <w:style w:type="paragraph" w:customStyle="1" w:styleId="spiski">
    <w:name w:val="spiski"/>
    <w:basedOn w:val="a"/>
    <w:rsid w:val="00110321"/>
    <w:rPr>
      <w:rFonts w:eastAsiaTheme="minorEastAsia" w:cs="Times New Roman"/>
      <w:sz w:val="24"/>
      <w:szCs w:val="24"/>
      <w:lang w:eastAsia="ru-RU"/>
    </w:rPr>
  </w:style>
  <w:style w:type="paragraph" w:customStyle="1" w:styleId="changeadd">
    <w:name w:val="changeadd"/>
    <w:basedOn w:val="a"/>
    <w:rsid w:val="00110321"/>
    <w:pPr>
      <w:ind w:left="1134" w:firstLine="567"/>
      <w:jc w:val="both"/>
    </w:pPr>
    <w:rPr>
      <w:rFonts w:eastAsiaTheme="minorEastAsia" w:cs="Times New Roman"/>
      <w:sz w:val="24"/>
      <w:szCs w:val="24"/>
      <w:lang w:eastAsia="ru-RU"/>
    </w:rPr>
  </w:style>
  <w:style w:type="paragraph" w:customStyle="1" w:styleId="changei">
    <w:name w:val="changei"/>
    <w:basedOn w:val="a"/>
    <w:rsid w:val="00110321"/>
    <w:pPr>
      <w:ind w:left="1021"/>
    </w:pPr>
    <w:rPr>
      <w:rFonts w:eastAsiaTheme="minorEastAsia" w:cs="Times New Roman"/>
      <w:sz w:val="24"/>
      <w:szCs w:val="24"/>
      <w:lang w:eastAsia="ru-RU"/>
    </w:rPr>
  </w:style>
  <w:style w:type="paragraph" w:customStyle="1" w:styleId="cap1">
    <w:name w:val="cap1"/>
    <w:basedOn w:val="a"/>
    <w:rsid w:val="00110321"/>
    <w:rPr>
      <w:rFonts w:eastAsiaTheme="minorEastAsia" w:cs="Times New Roman"/>
      <w:sz w:val="22"/>
      <w:lang w:eastAsia="ru-RU"/>
    </w:rPr>
  </w:style>
  <w:style w:type="paragraph" w:customStyle="1" w:styleId="capu1">
    <w:name w:val="capu1"/>
    <w:basedOn w:val="a"/>
    <w:rsid w:val="00110321"/>
    <w:pPr>
      <w:spacing w:after="120"/>
    </w:pPr>
    <w:rPr>
      <w:rFonts w:eastAsiaTheme="minorEastAsia" w:cs="Times New Roman"/>
      <w:sz w:val="22"/>
      <w:lang w:eastAsia="ru-RU"/>
    </w:rPr>
  </w:style>
  <w:style w:type="paragraph" w:customStyle="1" w:styleId="newncpi">
    <w:name w:val="newncpi"/>
    <w:basedOn w:val="a"/>
    <w:rsid w:val="00110321"/>
    <w:pPr>
      <w:ind w:firstLine="567"/>
      <w:jc w:val="both"/>
    </w:pPr>
    <w:rPr>
      <w:rFonts w:eastAsiaTheme="minorEastAsia" w:cs="Times New Roman"/>
      <w:sz w:val="24"/>
      <w:szCs w:val="24"/>
      <w:lang w:eastAsia="ru-RU"/>
    </w:rPr>
  </w:style>
  <w:style w:type="paragraph" w:customStyle="1" w:styleId="newncpi0">
    <w:name w:val="newncpi0"/>
    <w:basedOn w:val="a"/>
    <w:rsid w:val="00110321"/>
    <w:pPr>
      <w:jc w:val="both"/>
    </w:pPr>
    <w:rPr>
      <w:rFonts w:eastAsiaTheme="minorEastAsia" w:cs="Times New Roman"/>
      <w:sz w:val="24"/>
      <w:szCs w:val="24"/>
      <w:lang w:eastAsia="ru-RU"/>
    </w:rPr>
  </w:style>
  <w:style w:type="character" w:customStyle="1" w:styleId="name">
    <w:name w:val="name"/>
    <w:basedOn w:val="a0"/>
    <w:rsid w:val="00110321"/>
    <w:rPr>
      <w:rFonts w:ascii="Times New Roman" w:hAnsi="Times New Roman" w:cs="Times New Roman" w:hint="default"/>
      <w:caps/>
    </w:rPr>
  </w:style>
  <w:style w:type="character" w:customStyle="1" w:styleId="promulgator">
    <w:name w:val="promulgator"/>
    <w:basedOn w:val="a0"/>
    <w:rsid w:val="00110321"/>
    <w:rPr>
      <w:rFonts w:ascii="Times New Roman" w:hAnsi="Times New Roman" w:cs="Times New Roman" w:hint="default"/>
      <w:caps/>
    </w:rPr>
  </w:style>
  <w:style w:type="character" w:customStyle="1" w:styleId="datepr">
    <w:name w:val="datepr"/>
    <w:basedOn w:val="a0"/>
    <w:rsid w:val="00110321"/>
    <w:rPr>
      <w:rFonts w:ascii="Times New Roman" w:hAnsi="Times New Roman" w:cs="Times New Roman" w:hint="default"/>
    </w:rPr>
  </w:style>
  <w:style w:type="character" w:customStyle="1" w:styleId="number">
    <w:name w:val="number"/>
    <w:basedOn w:val="a0"/>
    <w:rsid w:val="00110321"/>
    <w:rPr>
      <w:rFonts w:ascii="Times New Roman" w:hAnsi="Times New Roman" w:cs="Times New Roman" w:hint="default"/>
    </w:rPr>
  </w:style>
  <w:style w:type="character" w:customStyle="1" w:styleId="rednoun">
    <w:name w:val="rednoun"/>
    <w:basedOn w:val="a0"/>
    <w:rsid w:val="00110321"/>
  </w:style>
  <w:style w:type="character" w:customStyle="1" w:styleId="post">
    <w:name w:val="post"/>
    <w:basedOn w:val="a0"/>
    <w:rsid w:val="00110321"/>
    <w:rPr>
      <w:rFonts w:ascii="Times New Roman" w:hAnsi="Times New Roman" w:cs="Times New Roman" w:hint="default"/>
      <w:b/>
      <w:bCs/>
      <w:sz w:val="22"/>
      <w:szCs w:val="22"/>
    </w:rPr>
  </w:style>
  <w:style w:type="character" w:customStyle="1" w:styleId="pers">
    <w:name w:val="pers"/>
    <w:basedOn w:val="a0"/>
    <w:rsid w:val="00110321"/>
    <w:rPr>
      <w:rFonts w:ascii="Times New Roman" w:hAnsi="Times New Roman" w:cs="Times New Roman" w:hint="default"/>
      <w:b/>
      <w:bCs/>
      <w:sz w:val="22"/>
      <w:szCs w:val="22"/>
    </w:rPr>
  </w:style>
  <w:style w:type="paragraph" w:styleId="a3">
    <w:name w:val="header"/>
    <w:basedOn w:val="a"/>
    <w:link w:val="a4"/>
    <w:uiPriority w:val="99"/>
    <w:unhideWhenUsed/>
    <w:rsid w:val="00110321"/>
    <w:pPr>
      <w:tabs>
        <w:tab w:val="center" w:pos="4677"/>
        <w:tab w:val="right" w:pos="9355"/>
      </w:tabs>
    </w:pPr>
  </w:style>
  <w:style w:type="character" w:customStyle="1" w:styleId="a4">
    <w:name w:val="Верхний колонтитул Знак"/>
    <w:basedOn w:val="a0"/>
    <w:link w:val="a3"/>
    <w:uiPriority w:val="99"/>
    <w:rsid w:val="00110321"/>
  </w:style>
  <w:style w:type="paragraph" w:styleId="a5">
    <w:name w:val="footer"/>
    <w:basedOn w:val="a"/>
    <w:link w:val="a6"/>
    <w:uiPriority w:val="99"/>
    <w:unhideWhenUsed/>
    <w:rsid w:val="00110321"/>
    <w:pPr>
      <w:tabs>
        <w:tab w:val="center" w:pos="4677"/>
        <w:tab w:val="right" w:pos="9355"/>
      </w:tabs>
    </w:pPr>
  </w:style>
  <w:style w:type="character" w:customStyle="1" w:styleId="a6">
    <w:name w:val="Нижний колонтитул Знак"/>
    <w:basedOn w:val="a0"/>
    <w:link w:val="a5"/>
    <w:uiPriority w:val="99"/>
    <w:rsid w:val="00110321"/>
  </w:style>
  <w:style w:type="character" w:styleId="a7">
    <w:name w:val="page number"/>
    <w:basedOn w:val="a0"/>
    <w:uiPriority w:val="99"/>
    <w:semiHidden/>
    <w:unhideWhenUsed/>
    <w:rsid w:val="00110321"/>
  </w:style>
  <w:style w:type="table" w:styleId="a8">
    <w:name w:val="Table Grid"/>
    <w:basedOn w:val="a1"/>
    <w:uiPriority w:val="39"/>
    <w:rsid w:val="00110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4193</Words>
  <Characters>32501</Characters>
  <Application>Microsoft Office Word</Application>
  <DocSecurity>0</DocSecurity>
  <Lines>955</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2021-10-29T11:51:00Z</dcterms:created>
  <dcterms:modified xsi:type="dcterms:W3CDTF">2021-10-29T11:51:00Z</dcterms:modified>
</cp:coreProperties>
</file>