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D51" w:rsidRPr="00AE4577" w:rsidRDefault="006A7D51" w:rsidP="00AE4577">
      <w:pPr>
        <w:shd w:val="clear" w:color="auto" w:fill="FFFFFF"/>
        <w:jc w:val="both"/>
        <w:outlineLvl w:val="0"/>
        <w:rPr>
          <w:rFonts w:eastAsia="Times New Roman" w:cs="Times New Roman"/>
          <w:b/>
          <w:bCs/>
          <w:kern w:val="36"/>
          <w:sz w:val="24"/>
          <w:szCs w:val="24"/>
          <w:lang w:eastAsia="ru-RU"/>
        </w:rPr>
      </w:pPr>
      <w:r w:rsidRPr="00AE4577">
        <w:rPr>
          <w:rFonts w:eastAsia="Times New Roman" w:cs="Times New Roman"/>
          <w:b/>
          <w:bCs/>
          <w:kern w:val="36"/>
          <w:sz w:val="24"/>
          <w:szCs w:val="24"/>
          <w:lang w:eastAsia="ru-RU"/>
        </w:rPr>
        <w:t>О поддержке экспорта</w:t>
      </w:r>
    </w:p>
    <w:p w:rsidR="006A7D51" w:rsidRPr="00AE4577" w:rsidRDefault="00AE4577" w:rsidP="00AE4577">
      <w:pPr>
        <w:shd w:val="clear" w:color="auto" w:fill="FFFFFF"/>
        <w:spacing w:after="225"/>
        <w:jc w:val="both"/>
        <w:rPr>
          <w:rFonts w:eastAsia="Times New Roman" w:cs="Times New Roman"/>
          <w:sz w:val="24"/>
          <w:szCs w:val="24"/>
          <w:lang w:eastAsia="ru-RU"/>
        </w:rPr>
      </w:pPr>
      <w:hyperlink r:id="rId4" w:history="1">
        <w:r w:rsidR="006A7D51" w:rsidRPr="00AE4577">
          <w:rPr>
            <w:rFonts w:eastAsia="Times New Roman" w:cs="Times New Roman"/>
            <w:b/>
            <w:bCs/>
            <w:sz w:val="24"/>
            <w:szCs w:val="24"/>
            <w:u w:val="single"/>
            <w:lang w:eastAsia="ru-RU"/>
          </w:rPr>
          <w:t>Указ Президента Республики Беларусь от 14 ноября 2019 г. № 412 ”О поддержке экспорта“</w:t>
        </w:r>
      </w:hyperlink>
    </w:p>
    <w:p w:rsidR="006A7D51" w:rsidRPr="00AE4577" w:rsidRDefault="006A7D51" w:rsidP="00AE4577">
      <w:pPr>
        <w:shd w:val="clear" w:color="auto" w:fill="FFFFFF"/>
        <w:spacing w:after="225"/>
        <w:jc w:val="both"/>
        <w:rPr>
          <w:rFonts w:eastAsia="Times New Roman" w:cs="Times New Roman"/>
          <w:sz w:val="24"/>
          <w:szCs w:val="24"/>
          <w:lang w:eastAsia="ru-RU"/>
        </w:rPr>
      </w:pPr>
      <w:r w:rsidRPr="00AE4577">
        <w:rPr>
          <w:rFonts w:eastAsia="Times New Roman" w:cs="Times New Roman"/>
          <w:b/>
          <w:bCs/>
          <w:sz w:val="24"/>
          <w:szCs w:val="24"/>
          <w:lang w:eastAsia="ru-RU"/>
        </w:rPr>
        <w:t>О возмещении части расходов на участие в международных специализированных выставках (ярмарках) в иностранных государствах</w:t>
      </w:r>
    </w:p>
    <w:p w:rsidR="006A7D51" w:rsidRPr="00AE4577" w:rsidRDefault="006A7D51" w:rsidP="00AE4577">
      <w:pPr>
        <w:shd w:val="clear" w:color="auto" w:fill="FFFFFF"/>
        <w:ind w:firstLine="708"/>
        <w:jc w:val="both"/>
        <w:rPr>
          <w:rFonts w:eastAsia="Times New Roman" w:cs="Times New Roman"/>
          <w:sz w:val="24"/>
          <w:szCs w:val="24"/>
          <w:lang w:eastAsia="ru-RU"/>
        </w:rPr>
      </w:pPr>
      <w:r w:rsidRPr="00AE4577">
        <w:rPr>
          <w:rFonts w:eastAsia="Times New Roman" w:cs="Times New Roman"/>
          <w:sz w:val="24"/>
          <w:szCs w:val="24"/>
          <w:lang w:eastAsia="ru-RU"/>
        </w:rPr>
        <w:t>В соответствии с </w:t>
      </w:r>
      <w:hyperlink r:id="rId5" w:history="1">
        <w:r w:rsidRPr="00AE4577">
          <w:rPr>
            <w:rFonts w:eastAsia="Times New Roman" w:cs="Times New Roman"/>
            <w:sz w:val="24"/>
            <w:szCs w:val="24"/>
            <w:u w:val="single"/>
            <w:lang w:eastAsia="ru-RU"/>
          </w:rPr>
          <w:t>Положением о возмещении части расходов на участие в международных специализированных выставках (ярмарках) в иностранных государствах</w:t>
        </w:r>
      </w:hyperlink>
      <w:r w:rsidRPr="00AE4577">
        <w:rPr>
          <w:rFonts w:eastAsia="Times New Roman" w:cs="Times New Roman"/>
          <w:sz w:val="24"/>
          <w:szCs w:val="24"/>
          <w:lang w:eastAsia="ru-RU"/>
        </w:rPr>
        <w:t> (далее – Положение), утвержденного Указом Президента Республики Беларусь от 14 ноября 2019 г. № 412, Витебским облисполкомом утвержден </w:t>
      </w:r>
      <w:hyperlink r:id="rId6" w:history="1">
        <w:r w:rsidRPr="00AE4577">
          <w:rPr>
            <w:rFonts w:eastAsia="Times New Roman" w:cs="Times New Roman"/>
            <w:sz w:val="24"/>
            <w:szCs w:val="24"/>
            <w:u w:val="single"/>
            <w:lang w:eastAsia="ru-RU"/>
          </w:rPr>
          <w:t>Перечень международных специализированных выставок (ярмарок) в иностранных государствах, расходы на участие в которых возмещаются в 2022 году</w:t>
        </w:r>
        <w:r w:rsidRPr="00AE4577">
          <w:rPr>
            <w:rFonts w:eastAsia="Times New Roman" w:cs="Times New Roman"/>
            <w:i/>
            <w:iCs/>
            <w:sz w:val="24"/>
            <w:szCs w:val="24"/>
            <w:u w:val="single"/>
            <w:lang w:eastAsia="ru-RU"/>
          </w:rPr>
          <w:t>.</w:t>
        </w:r>
      </w:hyperlink>
      <w:r w:rsidRPr="00AE4577">
        <w:rPr>
          <w:rFonts w:eastAsia="Times New Roman" w:cs="Times New Roman"/>
          <w:i/>
          <w:iCs/>
          <w:sz w:val="24"/>
          <w:szCs w:val="24"/>
          <w:lang w:eastAsia="ru-RU"/>
        </w:rPr>
        <w:t> </w:t>
      </w:r>
      <w:r w:rsidRPr="00AE4577">
        <w:rPr>
          <w:rFonts w:eastAsia="Times New Roman" w:cs="Times New Roman"/>
          <w:sz w:val="24"/>
          <w:szCs w:val="24"/>
          <w:lang w:eastAsia="ru-RU"/>
        </w:rPr>
        <w:t> </w:t>
      </w:r>
    </w:p>
    <w:p w:rsidR="006A7D51" w:rsidRPr="00AE4577" w:rsidRDefault="006A7D51" w:rsidP="00AE4577">
      <w:pPr>
        <w:shd w:val="clear" w:color="auto" w:fill="FFFFFF"/>
        <w:ind w:firstLine="708"/>
        <w:jc w:val="both"/>
        <w:rPr>
          <w:rFonts w:eastAsia="Times New Roman" w:cs="Times New Roman"/>
          <w:sz w:val="24"/>
          <w:szCs w:val="24"/>
          <w:lang w:eastAsia="ru-RU"/>
        </w:rPr>
      </w:pPr>
      <w:r w:rsidRPr="00AE4577">
        <w:rPr>
          <w:rFonts w:eastAsia="Times New Roman" w:cs="Times New Roman"/>
          <w:sz w:val="24"/>
          <w:szCs w:val="24"/>
          <w:lang w:eastAsia="ru-RU"/>
        </w:rPr>
        <w:t>В соответствии с требованиями Положения, юридические лица и индивидуальные предприниматели, зарегистрированные на территории Витебской области, смогут получить государственную поддержку в виде возмещения части расходов по участию в международных специализированных выставках (ярмарках) за рубежом. Возмещение осуществляется в отношении выставок, включенных в Перечень международных специализированных выставок (ярмарок) в иностранных государствах, расходы на участие в которых возмещаются в 2022 году, сформированный Витебским областным исполнительным комитетом.</w:t>
      </w:r>
    </w:p>
    <w:p w:rsidR="006A7D51" w:rsidRPr="00AE4577" w:rsidRDefault="006A7D51" w:rsidP="00AE4577">
      <w:pPr>
        <w:shd w:val="clear" w:color="auto" w:fill="FFFFFF"/>
        <w:ind w:firstLine="708"/>
        <w:jc w:val="both"/>
        <w:rPr>
          <w:rFonts w:eastAsia="Times New Roman" w:cs="Times New Roman"/>
          <w:sz w:val="24"/>
          <w:szCs w:val="24"/>
          <w:lang w:eastAsia="ru-RU"/>
        </w:rPr>
      </w:pPr>
      <w:r w:rsidRPr="00AE4577">
        <w:rPr>
          <w:rFonts w:eastAsia="Times New Roman" w:cs="Times New Roman"/>
          <w:sz w:val="24"/>
          <w:szCs w:val="24"/>
          <w:lang w:eastAsia="ru-RU"/>
        </w:rPr>
        <w:t>Возмещению подлежит часть расходов по договорам аренды выставочных площадей и оборудования, оказания услуг по монтажу выставочных стендов и созданию временной выставочной инфраструктуры (конструкций), обязательства по которым юридическими лицами, индивидуальными предпринимателями исполнены.</w:t>
      </w:r>
    </w:p>
    <w:p w:rsidR="006A7D51" w:rsidRPr="00AE4577" w:rsidRDefault="006A7D51" w:rsidP="00AE4577">
      <w:pPr>
        <w:shd w:val="clear" w:color="auto" w:fill="FFFFFF"/>
        <w:ind w:firstLine="708"/>
        <w:jc w:val="both"/>
        <w:rPr>
          <w:rFonts w:eastAsia="Times New Roman" w:cs="Times New Roman"/>
          <w:sz w:val="24"/>
          <w:szCs w:val="24"/>
          <w:lang w:eastAsia="ru-RU"/>
        </w:rPr>
      </w:pPr>
      <w:r w:rsidRPr="00AE4577">
        <w:rPr>
          <w:rFonts w:eastAsia="Times New Roman" w:cs="Times New Roman"/>
          <w:sz w:val="24"/>
          <w:szCs w:val="24"/>
          <w:lang w:eastAsia="ru-RU"/>
        </w:rPr>
        <w:t>Возмещение предоставляется не более одного раза в течение календарного года юридическим лицам, индивидуальным предпринимателям, осуществляющим производство продукции (выполнение работ, оказание услуг) и участвующим в выставке.</w:t>
      </w:r>
    </w:p>
    <w:p w:rsidR="006A7D51" w:rsidRPr="00AE4577" w:rsidRDefault="006A7D51" w:rsidP="00AE4577">
      <w:pPr>
        <w:shd w:val="clear" w:color="auto" w:fill="FFFFFF"/>
        <w:ind w:firstLine="708"/>
        <w:jc w:val="both"/>
        <w:rPr>
          <w:rFonts w:eastAsia="Times New Roman" w:cs="Times New Roman"/>
          <w:sz w:val="24"/>
          <w:szCs w:val="24"/>
          <w:lang w:eastAsia="ru-RU"/>
        </w:rPr>
      </w:pPr>
      <w:r w:rsidRPr="00AE4577">
        <w:rPr>
          <w:rFonts w:eastAsia="Times New Roman" w:cs="Times New Roman"/>
          <w:sz w:val="24"/>
          <w:szCs w:val="24"/>
          <w:lang w:eastAsia="ru-RU"/>
        </w:rPr>
        <w:t>Число получателей возмещения расходов в рамках одной выставки не ограничено, будет осуществляться по заявительному принципу </w:t>
      </w:r>
      <w:r w:rsidRPr="00AE4577">
        <w:rPr>
          <w:rFonts w:eastAsia="Times New Roman" w:cs="Times New Roman"/>
          <w:i/>
          <w:iCs/>
          <w:sz w:val="24"/>
          <w:szCs w:val="24"/>
          <w:lang w:eastAsia="ru-RU"/>
        </w:rPr>
        <w:t>(</w:t>
      </w:r>
      <w:hyperlink r:id="rId7" w:history="1">
        <w:r w:rsidRPr="00AE4577">
          <w:rPr>
            <w:rFonts w:eastAsia="Times New Roman" w:cs="Times New Roman"/>
            <w:i/>
            <w:iCs/>
            <w:sz w:val="24"/>
            <w:szCs w:val="24"/>
            <w:u w:val="single"/>
            <w:lang w:eastAsia="ru-RU"/>
          </w:rPr>
          <w:t>форма заявления</w:t>
        </w:r>
      </w:hyperlink>
      <w:r w:rsidRPr="00AE4577">
        <w:rPr>
          <w:rFonts w:eastAsia="Times New Roman" w:cs="Times New Roman"/>
          <w:i/>
          <w:iCs/>
          <w:sz w:val="24"/>
          <w:szCs w:val="24"/>
          <w:lang w:eastAsia="ru-RU"/>
        </w:rPr>
        <w:t>) </w:t>
      </w:r>
      <w:r w:rsidRPr="00AE4577">
        <w:rPr>
          <w:rFonts w:eastAsia="Times New Roman" w:cs="Times New Roman"/>
          <w:sz w:val="24"/>
          <w:szCs w:val="24"/>
          <w:lang w:eastAsia="ru-RU"/>
        </w:rPr>
        <w:t>в пределах средств, запланированных в областном бюджете на эти цели.</w:t>
      </w:r>
    </w:p>
    <w:p w:rsidR="006A7D51" w:rsidRPr="00AE4577" w:rsidRDefault="006A7D51" w:rsidP="00AE4577">
      <w:pPr>
        <w:shd w:val="clear" w:color="auto" w:fill="FFFFFF"/>
        <w:ind w:firstLine="708"/>
        <w:jc w:val="both"/>
        <w:rPr>
          <w:rFonts w:eastAsia="Times New Roman" w:cs="Times New Roman"/>
          <w:sz w:val="24"/>
          <w:szCs w:val="24"/>
          <w:lang w:eastAsia="ru-RU"/>
        </w:rPr>
      </w:pPr>
      <w:r w:rsidRPr="00AE4577">
        <w:rPr>
          <w:rFonts w:eastAsia="Times New Roman" w:cs="Times New Roman"/>
          <w:sz w:val="24"/>
          <w:szCs w:val="24"/>
          <w:lang w:eastAsia="ru-RU"/>
        </w:rPr>
        <w:t>Юридические лица, индивидуальные предприниматели несут ответственность за достоверность сведений (данных), явившихся основанием для предоставления возмещения, в соответствии с бюджетным законодательством.</w:t>
      </w:r>
    </w:p>
    <w:p w:rsidR="006A7D51" w:rsidRPr="00AE4577" w:rsidRDefault="006A7D51" w:rsidP="00AE4577">
      <w:pPr>
        <w:shd w:val="clear" w:color="auto" w:fill="FFFFFF"/>
        <w:jc w:val="both"/>
        <w:rPr>
          <w:rFonts w:eastAsia="Times New Roman" w:cs="Times New Roman"/>
          <w:sz w:val="24"/>
          <w:szCs w:val="24"/>
          <w:lang w:eastAsia="ru-RU"/>
        </w:rPr>
      </w:pPr>
      <w:r w:rsidRPr="00AE4577">
        <w:rPr>
          <w:rFonts w:eastAsia="Times New Roman" w:cs="Times New Roman"/>
          <w:b/>
          <w:bCs/>
          <w:sz w:val="24"/>
          <w:szCs w:val="24"/>
          <w:lang w:eastAsia="ru-RU"/>
        </w:rPr>
        <w:t>О возмещении части расходов на проведение оценки соответствия продукции в иностранных государствах</w:t>
      </w:r>
    </w:p>
    <w:p w:rsidR="006A7D51" w:rsidRPr="00AE4577" w:rsidRDefault="006A7D51" w:rsidP="00AE4577">
      <w:pPr>
        <w:shd w:val="clear" w:color="auto" w:fill="FFFFFF"/>
        <w:ind w:firstLine="708"/>
        <w:jc w:val="both"/>
        <w:rPr>
          <w:rFonts w:eastAsia="Times New Roman" w:cs="Times New Roman"/>
          <w:sz w:val="24"/>
          <w:szCs w:val="24"/>
          <w:lang w:eastAsia="ru-RU"/>
        </w:rPr>
      </w:pPr>
      <w:r w:rsidRPr="00AE4577">
        <w:rPr>
          <w:rFonts w:eastAsia="Times New Roman" w:cs="Times New Roman"/>
          <w:sz w:val="24"/>
          <w:szCs w:val="24"/>
          <w:lang w:eastAsia="ru-RU"/>
        </w:rPr>
        <w:t> Юридические лица и индивидуальные предприниматели, зарегистрированные на территории Витебской области, смогут получить государственную поддержку в виде возмещения части расходов на проведение оценки соответствия продукции в иностранных государствах в соответствии с требованиями </w:t>
      </w:r>
      <w:hyperlink r:id="rId8" w:history="1">
        <w:r w:rsidRPr="00AE4577">
          <w:rPr>
            <w:rFonts w:eastAsia="Times New Roman" w:cs="Times New Roman"/>
            <w:sz w:val="24"/>
            <w:szCs w:val="24"/>
            <w:u w:val="single"/>
            <w:lang w:eastAsia="ru-RU"/>
          </w:rPr>
          <w:t>Положения о возмещении части расходов на проведение оценки соответствия продукции в иностранных государствах</w:t>
        </w:r>
      </w:hyperlink>
      <w:r w:rsidRPr="00AE4577">
        <w:rPr>
          <w:rFonts w:eastAsia="Times New Roman" w:cs="Times New Roman"/>
          <w:i/>
          <w:iCs/>
          <w:sz w:val="24"/>
          <w:szCs w:val="24"/>
          <w:lang w:eastAsia="ru-RU"/>
        </w:rPr>
        <w:t>.</w:t>
      </w:r>
    </w:p>
    <w:p w:rsidR="006A7D51" w:rsidRPr="00AE4577" w:rsidRDefault="006A7D51" w:rsidP="00AE4577">
      <w:pPr>
        <w:shd w:val="clear" w:color="auto" w:fill="FFFFFF"/>
        <w:ind w:firstLine="708"/>
        <w:jc w:val="both"/>
        <w:rPr>
          <w:rFonts w:eastAsia="Times New Roman" w:cs="Times New Roman"/>
          <w:sz w:val="24"/>
          <w:szCs w:val="24"/>
          <w:lang w:eastAsia="ru-RU"/>
        </w:rPr>
      </w:pPr>
      <w:r w:rsidRPr="00AE4577">
        <w:rPr>
          <w:rFonts w:eastAsia="Times New Roman" w:cs="Times New Roman"/>
          <w:sz w:val="24"/>
          <w:szCs w:val="24"/>
          <w:lang w:eastAsia="ru-RU"/>
        </w:rPr>
        <w:t>Возмещение предоставляется юридическому лицу, индивидуальному предпринимателю не более двух раз в течение календарного года.</w:t>
      </w:r>
    </w:p>
    <w:p w:rsidR="006A7D51" w:rsidRPr="00AE4577" w:rsidRDefault="006A7D51" w:rsidP="00AE4577">
      <w:pPr>
        <w:shd w:val="clear" w:color="auto" w:fill="FFFFFF"/>
        <w:ind w:firstLine="708"/>
        <w:jc w:val="both"/>
        <w:rPr>
          <w:rFonts w:eastAsia="Times New Roman" w:cs="Times New Roman"/>
          <w:sz w:val="24"/>
          <w:szCs w:val="24"/>
          <w:lang w:eastAsia="ru-RU"/>
        </w:rPr>
      </w:pPr>
      <w:r w:rsidRPr="00AE4577">
        <w:rPr>
          <w:rFonts w:eastAsia="Times New Roman" w:cs="Times New Roman"/>
          <w:sz w:val="24"/>
          <w:szCs w:val="24"/>
          <w:lang w:eastAsia="ru-RU"/>
        </w:rPr>
        <w:t>Возмещение будет осуществляться по заявительному принципу </w:t>
      </w:r>
      <w:r w:rsidRPr="00AE4577">
        <w:rPr>
          <w:rFonts w:eastAsia="Times New Roman" w:cs="Times New Roman"/>
          <w:i/>
          <w:iCs/>
          <w:sz w:val="24"/>
          <w:szCs w:val="24"/>
          <w:lang w:eastAsia="ru-RU"/>
        </w:rPr>
        <w:t>(</w:t>
      </w:r>
      <w:hyperlink r:id="rId9" w:history="1">
        <w:r w:rsidRPr="00AE4577">
          <w:rPr>
            <w:rFonts w:eastAsia="Times New Roman" w:cs="Times New Roman"/>
            <w:i/>
            <w:iCs/>
            <w:sz w:val="24"/>
            <w:szCs w:val="24"/>
            <w:u w:val="single"/>
            <w:lang w:eastAsia="ru-RU"/>
          </w:rPr>
          <w:t>форма заявления</w:t>
        </w:r>
      </w:hyperlink>
      <w:r w:rsidRPr="00AE4577">
        <w:rPr>
          <w:rFonts w:eastAsia="Times New Roman" w:cs="Times New Roman"/>
          <w:i/>
          <w:iCs/>
          <w:sz w:val="24"/>
          <w:szCs w:val="24"/>
          <w:lang w:eastAsia="ru-RU"/>
        </w:rPr>
        <w:t>) </w:t>
      </w:r>
      <w:r w:rsidRPr="00AE4577">
        <w:rPr>
          <w:rFonts w:eastAsia="Times New Roman" w:cs="Times New Roman"/>
          <w:sz w:val="24"/>
          <w:szCs w:val="24"/>
          <w:lang w:eastAsia="ru-RU"/>
        </w:rPr>
        <w:t>в пределах средств, запланированных в областном бюджете на эти цели. </w:t>
      </w:r>
    </w:p>
    <w:p w:rsidR="006A7D51" w:rsidRDefault="006A7D51" w:rsidP="00AE4577">
      <w:pPr>
        <w:shd w:val="clear" w:color="auto" w:fill="FFFFFF"/>
        <w:ind w:firstLine="708"/>
        <w:jc w:val="both"/>
        <w:rPr>
          <w:rFonts w:eastAsia="Times New Roman" w:cs="Times New Roman"/>
          <w:sz w:val="24"/>
          <w:szCs w:val="24"/>
          <w:lang w:eastAsia="ru-RU"/>
        </w:rPr>
      </w:pPr>
      <w:r w:rsidRPr="00AE4577">
        <w:rPr>
          <w:rFonts w:eastAsia="Times New Roman" w:cs="Times New Roman"/>
          <w:sz w:val="24"/>
          <w:szCs w:val="24"/>
          <w:lang w:eastAsia="ru-RU"/>
        </w:rPr>
        <w:t>Юридические лица, индивидуальные предприниматели несут ответственность за достоверность сведений (данных), явившихся основанием для предоставления возмещения, в соответствии с бюджетным законодательством.</w:t>
      </w:r>
    </w:p>
    <w:p w:rsidR="00AE4577" w:rsidRDefault="00AE4577" w:rsidP="00AE4577">
      <w:pPr>
        <w:shd w:val="clear" w:color="auto" w:fill="FFFFFF"/>
        <w:ind w:firstLine="708"/>
        <w:jc w:val="both"/>
        <w:rPr>
          <w:rFonts w:eastAsia="Times New Roman" w:cs="Times New Roman"/>
          <w:sz w:val="24"/>
          <w:szCs w:val="24"/>
          <w:lang w:eastAsia="ru-RU"/>
        </w:rPr>
      </w:pPr>
    </w:p>
    <w:p w:rsidR="00AE4577" w:rsidRDefault="00AE4577" w:rsidP="00AE4577">
      <w:pPr>
        <w:shd w:val="clear" w:color="auto" w:fill="FFFFFF"/>
        <w:ind w:firstLine="708"/>
        <w:jc w:val="both"/>
        <w:rPr>
          <w:rFonts w:eastAsia="Times New Roman" w:cs="Times New Roman"/>
          <w:sz w:val="24"/>
          <w:szCs w:val="24"/>
          <w:lang w:eastAsia="ru-RU"/>
        </w:rPr>
      </w:pPr>
    </w:p>
    <w:p w:rsidR="00AE4577" w:rsidRPr="00AE4577" w:rsidRDefault="00AE4577" w:rsidP="00AE4577">
      <w:pPr>
        <w:shd w:val="clear" w:color="auto" w:fill="FFFFFF"/>
        <w:ind w:firstLine="708"/>
        <w:jc w:val="both"/>
        <w:rPr>
          <w:rFonts w:eastAsia="Times New Roman" w:cs="Times New Roman"/>
          <w:sz w:val="24"/>
          <w:szCs w:val="24"/>
          <w:lang w:eastAsia="ru-RU"/>
        </w:rPr>
      </w:pPr>
    </w:p>
    <w:p w:rsidR="006A7D51" w:rsidRPr="00AE4577" w:rsidRDefault="00AE4577" w:rsidP="00AE4577">
      <w:pPr>
        <w:shd w:val="clear" w:color="auto" w:fill="FFFFFF"/>
        <w:spacing w:before="225"/>
        <w:jc w:val="both"/>
        <w:rPr>
          <w:rFonts w:eastAsia="Times New Roman" w:cs="Times New Roman"/>
          <w:sz w:val="24"/>
          <w:szCs w:val="24"/>
          <w:lang w:eastAsia="ru-RU"/>
        </w:rPr>
      </w:pPr>
      <w:r w:rsidRPr="00AE4577">
        <w:rPr>
          <w:rFonts w:eastAsia="Times New Roman" w:cs="Times New Roman"/>
          <w:sz w:val="24"/>
          <w:szCs w:val="24"/>
          <w:lang w:eastAsia="ru-RU"/>
        </w:rPr>
        <w:pict>
          <v:rect id="_x0000_i1044" style="width:0;height:1.5pt" o:hralign="center" o:hrstd="t" o:hrnoshade="t" o:hr="t" fillcolor="#6f97c1" stroked="f"/>
        </w:pict>
      </w:r>
    </w:p>
    <w:p w:rsidR="006A7D51" w:rsidRPr="00AE4577" w:rsidRDefault="00AE4577" w:rsidP="00AE4577">
      <w:pPr>
        <w:shd w:val="clear" w:color="auto" w:fill="FFFFFF"/>
        <w:spacing w:after="225"/>
        <w:rPr>
          <w:rFonts w:eastAsia="Times New Roman" w:cs="Times New Roman"/>
          <w:sz w:val="24"/>
          <w:szCs w:val="24"/>
          <w:lang w:eastAsia="ru-RU"/>
        </w:rPr>
      </w:pPr>
      <w:hyperlink r:id="rId10" w:history="1">
        <w:r w:rsidR="006A7D51" w:rsidRPr="00AE4577">
          <w:rPr>
            <w:rFonts w:eastAsia="Times New Roman" w:cs="Times New Roman"/>
            <w:b/>
            <w:bCs/>
            <w:sz w:val="24"/>
            <w:szCs w:val="24"/>
            <w:u w:val="single"/>
            <w:lang w:eastAsia="ru-RU"/>
          </w:rPr>
          <w:t>Порядок действий по реализации Указа №412</w:t>
        </w:r>
      </w:hyperlink>
      <w:hyperlink r:id="rId11" w:history="1">
        <w:r w:rsidR="006A7D51" w:rsidRPr="00AE4577">
          <w:rPr>
            <w:rFonts w:eastAsia="Times New Roman" w:cs="Times New Roman"/>
            <w:sz w:val="24"/>
            <w:szCs w:val="24"/>
            <w:u w:val="single"/>
            <w:lang w:eastAsia="ru-RU"/>
          </w:rPr>
          <w:t> </w:t>
        </w:r>
      </w:hyperlink>
      <w:bookmarkStart w:id="0" w:name="_GoBack"/>
      <w:bookmarkEnd w:id="0"/>
    </w:p>
    <w:p w:rsidR="006A7D51" w:rsidRPr="00AE4577" w:rsidRDefault="006A7D51" w:rsidP="00AE4577">
      <w:pPr>
        <w:shd w:val="clear" w:color="auto" w:fill="FFFFFF"/>
        <w:spacing w:before="225" w:after="300"/>
        <w:rPr>
          <w:rFonts w:eastAsia="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2"/>
      </w:tblGrid>
      <w:tr w:rsidR="00AE4577" w:rsidRPr="00AE4577" w:rsidTr="000D5B24">
        <w:tc>
          <w:tcPr>
            <w:tcW w:w="7674" w:type="dxa"/>
            <w:shd w:val="clear" w:color="auto" w:fill="auto"/>
          </w:tcPr>
          <w:p w:rsidR="006A7D51" w:rsidRPr="00AE4577" w:rsidRDefault="006A7D51" w:rsidP="00AE4577">
            <w:pPr>
              <w:ind w:left="-142" w:right="-55"/>
              <w:jc w:val="center"/>
              <w:rPr>
                <w:rFonts w:cs="Times New Roman"/>
                <w:b/>
                <w:bCs/>
                <w:sz w:val="24"/>
                <w:szCs w:val="24"/>
              </w:rPr>
            </w:pPr>
            <w:r w:rsidRPr="00AE4577">
              <w:rPr>
                <w:rFonts w:cs="Times New Roman"/>
                <w:b/>
                <w:bCs/>
                <w:sz w:val="24"/>
                <w:szCs w:val="24"/>
              </w:rPr>
              <w:t xml:space="preserve">О возмещении части расходов на участие в международных специализированных выставках (ярмарках) </w:t>
            </w:r>
            <w:r w:rsidRPr="00AE4577">
              <w:rPr>
                <w:rFonts w:cs="Times New Roman"/>
                <w:b/>
                <w:bCs/>
                <w:sz w:val="24"/>
                <w:szCs w:val="24"/>
              </w:rPr>
              <w:br/>
              <w:t>в иностранных государствах</w:t>
            </w:r>
          </w:p>
        </w:tc>
        <w:tc>
          <w:tcPr>
            <w:tcW w:w="7674" w:type="dxa"/>
            <w:shd w:val="clear" w:color="auto" w:fill="auto"/>
          </w:tcPr>
          <w:p w:rsidR="006A7D51" w:rsidRPr="00AE4577" w:rsidRDefault="006A7D51" w:rsidP="00AE4577">
            <w:pPr>
              <w:jc w:val="center"/>
              <w:rPr>
                <w:rFonts w:cs="Times New Roman"/>
                <w:b/>
                <w:bCs/>
                <w:sz w:val="24"/>
                <w:szCs w:val="24"/>
              </w:rPr>
            </w:pPr>
            <w:r w:rsidRPr="00AE4577">
              <w:rPr>
                <w:rFonts w:cs="Times New Roman"/>
                <w:b/>
                <w:bCs/>
                <w:sz w:val="24"/>
                <w:szCs w:val="24"/>
              </w:rPr>
              <w:t>О возмещении части расходов на проведение оценки соответствия продукции в иностранных государствах</w:t>
            </w:r>
          </w:p>
        </w:tc>
      </w:tr>
      <w:tr w:rsidR="00AE4577" w:rsidRPr="00AE4577" w:rsidTr="000D5B24">
        <w:tc>
          <w:tcPr>
            <w:tcW w:w="15348" w:type="dxa"/>
            <w:gridSpan w:val="2"/>
            <w:shd w:val="clear" w:color="auto" w:fill="auto"/>
          </w:tcPr>
          <w:p w:rsidR="006A7D51" w:rsidRPr="00AE4577" w:rsidRDefault="006A7D51" w:rsidP="00AE4577">
            <w:pPr>
              <w:jc w:val="center"/>
              <w:rPr>
                <w:rFonts w:cs="Times New Roman"/>
                <w:b/>
                <w:bCs/>
                <w:sz w:val="24"/>
                <w:szCs w:val="24"/>
              </w:rPr>
            </w:pPr>
            <w:r w:rsidRPr="00AE4577">
              <w:rPr>
                <w:rFonts w:cs="Times New Roman"/>
                <w:sz w:val="24"/>
                <w:szCs w:val="24"/>
              </w:rPr>
              <w:t>Для получения возмещения юридические лица, индивидуальные предприниматели, зарегистрированные на территории Витебской области:</w:t>
            </w:r>
          </w:p>
        </w:tc>
      </w:tr>
      <w:tr w:rsidR="00AE4577" w:rsidRPr="00AE4577" w:rsidTr="000D5B24">
        <w:tc>
          <w:tcPr>
            <w:tcW w:w="7674" w:type="dxa"/>
            <w:shd w:val="clear" w:color="auto" w:fill="auto"/>
          </w:tcPr>
          <w:p w:rsidR="006A7D51" w:rsidRPr="00AE4577" w:rsidRDefault="006A7D51" w:rsidP="00AE4577">
            <w:pPr>
              <w:pStyle w:val="point"/>
            </w:pPr>
            <w:r w:rsidRPr="00AE4577">
              <w:rPr>
                <w:b/>
              </w:rPr>
              <w:t>в течение 15 календарных дней</w:t>
            </w:r>
            <w:r w:rsidRPr="00AE4577">
              <w:t xml:space="preserve"> со дня окончания выставки представляют в облисполком:</w:t>
            </w:r>
          </w:p>
          <w:p w:rsidR="006A7D51" w:rsidRPr="00AE4577" w:rsidRDefault="006A7D51" w:rsidP="00AE4577">
            <w:pPr>
              <w:pStyle w:val="newncpi"/>
            </w:pPr>
            <w:r w:rsidRPr="00AE4577">
              <w:t>- заявление по форме, определяемой Советом Министров Республики Беларусь;</w:t>
            </w:r>
          </w:p>
          <w:p w:rsidR="006A7D51" w:rsidRPr="00AE4577" w:rsidRDefault="006A7D51" w:rsidP="00AE4577">
            <w:pPr>
              <w:pStyle w:val="newncpi"/>
            </w:pPr>
            <w:r w:rsidRPr="00AE4577">
              <w:t>- копию свидетельства о государственной регистрации, копию устава юридического лица (учредительного договора – для юридических лиц, действующих на основании такого договора);</w:t>
            </w:r>
          </w:p>
          <w:p w:rsidR="006A7D51" w:rsidRPr="00AE4577" w:rsidRDefault="006A7D51" w:rsidP="00AE4577">
            <w:pPr>
              <w:pStyle w:val="newncpi"/>
            </w:pPr>
            <w:r w:rsidRPr="00AE4577">
              <w:t>- копии договоров аренды выставочных площадей и оборудования, оказания услуг по монтажу выставочных стендов и созданию временной выставочной инфраструктуры (конструкций), платежных документов, подтверждающих фактическую оплату понесенных расходов;</w:t>
            </w:r>
          </w:p>
          <w:p w:rsidR="006A7D51" w:rsidRPr="00AE4577" w:rsidRDefault="006A7D51" w:rsidP="00AE4577">
            <w:pPr>
              <w:pStyle w:val="newncpi"/>
            </w:pPr>
            <w:r w:rsidRPr="00AE4577">
              <w:t xml:space="preserve">- отчет об участии в выставке с указанием сведений о параметрах выставочного стенда (павильона, открытой площадки), предоставленной информации о производимой продукции (выполняемых работах, оказываемых услугах), </w:t>
            </w:r>
            <w:proofErr w:type="spellStart"/>
            <w:r w:rsidRPr="00AE4577">
              <w:t>демонстрировавшейся</w:t>
            </w:r>
            <w:proofErr w:type="spellEnd"/>
            <w:r w:rsidRPr="00AE4577">
              <w:t>, реализованной продукции (выполненных работах, оказанных услугах);</w:t>
            </w:r>
          </w:p>
          <w:p w:rsidR="006A7D51" w:rsidRPr="00AE4577" w:rsidRDefault="006A7D51" w:rsidP="00AE4577">
            <w:pPr>
              <w:pStyle w:val="newncpi"/>
              <w:rPr>
                <w:b/>
                <w:bCs/>
              </w:rPr>
            </w:pPr>
            <w:r w:rsidRPr="00AE4577">
              <w:t>- расчет суммы расходов.</w:t>
            </w:r>
          </w:p>
        </w:tc>
        <w:tc>
          <w:tcPr>
            <w:tcW w:w="7674" w:type="dxa"/>
            <w:shd w:val="clear" w:color="auto" w:fill="auto"/>
          </w:tcPr>
          <w:p w:rsidR="006A7D51" w:rsidRPr="00AE4577" w:rsidRDefault="006A7D51" w:rsidP="00AE4577">
            <w:pPr>
              <w:pStyle w:val="point"/>
            </w:pPr>
            <w:r w:rsidRPr="00AE4577">
              <w:rPr>
                <w:b/>
              </w:rPr>
              <w:t>в течение 30 календарных дней</w:t>
            </w:r>
            <w:r w:rsidRPr="00AE4577">
              <w:t xml:space="preserve"> со дня получения документа об оценке соответствия представляют в облисполком:</w:t>
            </w:r>
          </w:p>
          <w:p w:rsidR="006A7D51" w:rsidRPr="00AE4577" w:rsidRDefault="006A7D51" w:rsidP="00AE4577">
            <w:pPr>
              <w:pStyle w:val="newncpi"/>
            </w:pPr>
            <w:r w:rsidRPr="00AE4577">
              <w:t>- заявление по форме, определяемой Советом Министров Республики Беларусь;</w:t>
            </w:r>
          </w:p>
          <w:p w:rsidR="006A7D51" w:rsidRPr="00AE4577" w:rsidRDefault="006A7D51" w:rsidP="00AE4577">
            <w:pPr>
              <w:pStyle w:val="newncpi"/>
            </w:pPr>
            <w:r w:rsidRPr="00AE4577">
              <w:t>- копию свидетельства о государственной регистрации, копию устава юридического лица (учредительного договора – для юридических лиц, действующих на основании такого договора);</w:t>
            </w:r>
          </w:p>
          <w:p w:rsidR="006A7D51" w:rsidRPr="00AE4577" w:rsidRDefault="006A7D51" w:rsidP="00AE4577">
            <w:pPr>
              <w:pStyle w:val="newncpi"/>
            </w:pPr>
            <w:r w:rsidRPr="00AE4577">
              <w:t>- копии документов об оценке соответствия;</w:t>
            </w:r>
          </w:p>
          <w:p w:rsidR="006A7D51" w:rsidRPr="00AE4577" w:rsidRDefault="006A7D51" w:rsidP="00AE4577">
            <w:pPr>
              <w:pStyle w:val="newncpi"/>
            </w:pPr>
            <w:r w:rsidRPr="00AE4577">
              <w:t>- копии договоров (иных документов) на выполнение работ (оказание услуг) организациями, осуществляющими оценку соответствия, платежных и иных документов, подтверждающих фактическую оплату понесенных расходов;</w:t>
            </w:r>
          </w:p>
          <w:p w:rsidR="006A7D51" w:rsidRPr="00AE4577" w:rsidRDefault="006A7D51" w:rsidP="00AE4577">
            <w:pPr>
              <w:pStyle w:val="newncpi"/>
            </w:pPr>
            <w:r w:rsidRPr="00AE4577">
              <w:t>- копии товарно-транспортных накладных и таможенных документов, подтверждающих доставку образца товара для проведения оценки соответствия.</w:t>
            </w:r>
          </w:p>
          <w:p w:rsidR="006A7D51" w:rsidRPr="00AE4577" w:rsidRDefault="006A7D51" w:rsidP="00AE4577">
            <w:pPr>
              <w:pStyle w:val="newncpi"/>
              <w:ind w:firstLine="0"/>
            </w:pPr>
          </w:p>
        </w:tc>
      </w:tr>
      <w:tr w:rsidR="00AE4577" w:rsidRPr="00AE4577" w:rsidTr="000D5B24">
        <w:tc>
          <w:tcPr>
            <w:tcW w:w="15348" w:type="dxa"/>
            <w:gridSpan w:val="2"/>
            <w:shd w:val="clear" w:color="auto" w:fill="auto"/>
          </w:tcPr>
          <w:p w:rsidR="006A7D51" w:rsidRPr="00AE4577" w:rsidRDefault="006A7D51" w:rsidP="00AE4577">
            <w:pPr>
              <w:pStyle w:val="point"/>
              <w:rPr>
                <w:b/>
              </w:rPr>
            </w:pPr>
            <w:r w:rsidRPr="00AE4577">
              <w:t>Документы заверяются подписью руководителя, главного бухгалтера юридического лица (в случае, если руководство бухгалтерским учетом юридического лица осуществляет главный бухгалтер), индивидуального предпринимателя либо руководителя организации или индивидуального предпринимателя, оказывающих услуги по ведению бухгалтерского учета и составлению отчетности, и направляются в облисполком</w:t>
            </w:r>
          </w:p>
        </w:tc>
      </w:tr>
      <w:tr w:rsidR="00AE4577" w:rsidRPr="00AE4577" w:rsidTr="000D5B24">
        <w:tc>
          <w:tcPr>
            <w:tcW w:w="15348" w:type="dxa"/>
            <w:gridSpan w:val="2"/>
            <w:shd w:val="clear" w:color="auto" w:fill="auto"/>
          </w:tcPr>
          <w:p w:rsidR="006A7D51" w:rsidRPr="00AE4577" w:rsidRDefault="006A7D51" w:rsidP="00AE4577">
            <w:pPr>
              <w:pStyle w:val="point"/>
            </w:pPr>
            <w:r w:rsidRPr="00AE4577">
              <w:t>В соответствии с пунктом 69 инструкции по делопроизводству в государственных органах, иных организациях, утвержденной постановлением Министерства юстиции Республики Беларусь от 19.01.2009 № 4, языками делопроизводства и документации в Республике Беларусь являются белорусский и русский. Предоставляемые документы на иностранном языке должны быть переведены в установленном законодательством порядке.</w:t>
            </w:r>
          </w:p>
        </w:tc>
      </w:tr>
      <w:tr w:rsidR="00AE4577" w:rsidRPr="00AE4577" w:rsidTr="000D5B24">
        <w:tc>
          <w:tcPr>
            <w:tcW w:w="7674" w:type="dxa"/>
            <w:shd w:val="clear" w:color="auto" w:fill="auto"/>
          </w:tcPr>
          <w:p w:rsidR="006A7D51" w:rsidRPr="00AE4577" w:rsidRDefault="006A7D51" w:rsidP="00AE4577">
            <w:pPr>
              <w:pStyle w:val="newncpi"/>
            </w:pPr>
            <w:r w:rsidRPr="00AE4577">
              <w:rPr>
                <w:b/>
                <w:u w:val="single"/>
              </w:rPr>
              <w:lastRenderedPageBreak/>
              <w:t>Возмещение предоставляется</w:t>
            </w:r>
            <w:r w:rsidRPr="00AE4577">
              <w:t xml:space="preserve"> в следующих размерах:</w:t>
            </w:r>
          </w:p>
          <w:p w:rsidR="006A7D51" w:rsidRPr="00AE4577" w:rsidRDefault="006A7D51" w:rsidP="00AE4577">
            <w:pPr>
              <w:pStyle w:val="newncpi"/>
            </w:pPr>
            <w:r w:rsidRPr="00AE4577">
              <w:t xml:space="preserve">50 процентов от суммы понесенных юридическими лицами, индивидуальными предпринимателями расходов, но </w:t>
            </w:r>
            <w:r w:rsidRPr="00AE4577">
              <w:rPr>
                <w:b/>
              </w:rPr>
              <w:t>не более 250 базовых</w:t>
            </w:r>
            <w:r w:rsidRPr="00AE4577">
              <w:t xml:space="preserve"> величин на дату принятия облисполкомом решения о предоставлении возмещения – для одного юридического лица, индивидуального предпринимателя;</w:t>
            </w:r>
          </w:p>
          <w:p w:rsidR="006A7D51" w:rsidRPr="00AE4577" w:rsidRDefault="006A7D51" w:rsidP="00AE4577">
            <w:pPr>
              <w:pStyle w:val="newncpi"/>
            </w:pPr>
            <w:r w:rsidRPr="00AE4577">
              <w:t>не более 1000 базовых величин* в отношении одной выставки и не более 10 000 базовых величин* в течение календарного года в отношении всех выставок, включенных в перечень выставок, формируемый Витебским облисполкомом.</w:t>
            </w:r>
          </w:p>
          <w:p w:rsidR="006A7D51" w:rsidRPr="00AE4577" w:rsidRDefault="006A7D51" w:rsidP="00AE4577">
            <w:pPr>
              <w:pStyle w:val="newncpi"/>
            </w:pPr>
            <w:r w:rsidRPr="00AE4577">
              <w:t>В случае, если общая сумма возмещения в отношении одной выставки превышает ограничения, то такое возмещение распределяется между юридическими лицами, индивидуальными предпринимателями, указанными в решении о предоставлении возмещения, пропорционально понесенным ими расходам.</w:t>
            </w:r>
          </w:p>
          <w:p w:rsidR="006A7D51" w:rsidRPr="00AE4577" w:rsidRDefault="006A7D51" w:rsidP="00AE4577">
            <w:pPr>
              <w:pStyle w:val="snoskiline"/>
              <w:rPr>
                <w:sz w:val="24"/>
                <w:szCs w:val="24"/>
              </w:rPr>
            </w:pPr>
            <w:r w:rsidRPr="00AE4577">
              <w:rPr>
                <w:sz w:val="24"/>
                <w:szCs w:val="24"/>
              </w:rPr>
              <w:t>______________________________</w:t>
            </w:r>
          </w:p>
          <w:p w:rsidR="006A7D51" w:rsidRPr="00AE4577" w:rsidRDefault="006A7D51" w:rsidP="00AE4577">
            <w:pPr>
              <w:pStyle w:val="newncpi"/>
            </w:pPr>
            <w:r w:rsidRPr="00AE4577">
              <w:t>* Рассчитанных на дату формирования перечня выставок.</w:t>
            </w:r>
          </w:p>
        </w:tc>
        <w:tc>
          <w:tcPr>
            <w:tcW w:w="7674" w:type="dxa"/>
            <w:shd w:val="clear" w:color="auto" w:fill="auto"/>
          </w:tcPr>
          <w:p w:rsidR="006A7D51" w:rsidRPr="00AE4577" w:rsidRDefault="006A7D51" w:rsidP="00AE4577">
            <w:pPr>
              <w:pStyle w:val="newncpi"/>
            </w:pPr>
            <w:r w:rsidRPr="00AE4577">
              <w:rPr>
                <w:b/>
                <w:u w:val="single"/>
              </w:rPr>
              <w:t>Возмещение предоставляется</w:t>
            </w:r>
            <w:r w:rsidRPr="00AE4577">
              <w:t xml:space="preserve"> в следующих размерах:</w:t>
            </w:r>
          </w:p>
          <w:p w:rsidR="006A7D51" w:rsidRPr="00AE4577" w:rsidRDefault="006A7D51" w:rsidP="00AE4577">
            <w:pPr>
              <w:pStyle w:val="newncpi"/>
            </w:pPr>
            <w:r w:rsidRPr="00AE4577">
              <w:t xml:space="preserve">50 процентов от суммы расходов, понесенных юридическими лицами, индивидуальными предпринимателями на проведение оценки соответствия, но </w:t>
            </w:r>
            <w:r w:rsidRPr="00AE4577">
              <w:rPr>
                <w:b/>
              </w:rPr>
              <w:t>не более 500 базовых величин</w:t>
            </w:r>
            <w:r w:rsidRPr="00AE4577">
              <w:t xml:space="preserve"> на дату принятия решения о предоставлении возмещения в отношении продукции;</w:t>
            </w:r>
          </w:p>
          <w:p w:rsidR="006A7D51" w:rsidRPr="00AE4577" w:rsidRDefault="006A7D51" w:rsidP="00AE4577">
            <w:pPr>
              <w:pStyle w:val="newncpi"/>
            </w:pPr>
            <w:r w:rsidRPr="00AE4577">
              <w:t>не более 10 000 базовых величин* в течение календарного года в порядке очередности подачи юридическими лицами, индивидуальными предпринимателями, зарегистрированных на территории Витебской области, заявлений о предоставлении возмещения в Витебский облисполком.</w:t>
            </w:r>
          </w:p>
          <w:p w:rsidR="006A7D51" w:rsidRPr="00AE4577" w:rsidRDefault="006A7D51" w:rsidP="00AE4577">
            <w:pPr>
              <w:pStyle w:val="snoskiline"/>
              <w:rPr>
                <w:sz w:val="24"/>
                <w:szCs w:val="24"/>
              </w:rPr>
            </w:pPr>
            <w:r w:rsidRPr="00AE4577">
              <w:rPr>
                <w:sz w:val="24"/>
                <w:szCs w:val="24"/>
              </w:rPr>
              <w:t>______________________________</w:t>
            </w:r>
          </w:p>
          <w:p w:rsidR="006A7D51" w:rsidRPr="00AE4577" w:rsidRDefault="006A7D51" w:rsidP="00AE4577">
            <w:pPr>
              <w:pStyle w:val="snoski"/>
              <w:spacing w:after="240"/>
              <w:rPr>
                <w:sz w:val="24"/>
                <w:szCs w:val="24"/>
              </w:rPr>
            </w:pPr>
            <w:r w:rsidRPr="00AE4577">
              <w:rPr>
                <w:sz w:val="24"/>
                <w:szCs w:val="24"/>
              </w:rPr>
              <w:t>* Рассчитанных на 1 января соответствующего календарного года.</w:t>
            </w:r>
          </w:p>
        </w:tc>
      </w:tr>
      <w:tr w:rsidR="00AE4577" w:rsidRPr="00AE4577" w:rsidTr="000D5B24">
        <w:tc>
          <w:tcPr>
            <w:tcW w:w="15348" w:type="dxa"/>
            <w:gridSpan w:val="2"/>
            <w:shd w:val="clear" w:color="auto" w:fill="auto"/>
          </w:tcPr>
          <w:p w:rsidR="006A7D51" w:rsidRPr="00AE4577" w:rsidRDefault="006A7D51" w:rsidP="00AE4577">
            <w:pPr>
              <w:pStyle w:val="newncpi"/>
              <w:rPr>
                <w:b/>
                <w:u w:val="single"/>
              </w:rPr>
            </w:pPr>
            <w:r w:rsidRPr="00AE4577">
              <w:t>В случае, если юридические лица, индивидуальные предприниматели понесли расходы в иностранной валюте, возмещение производится в белорусских рублях по официальному курсу белорусского рубля, установленному Национальным банком к соответствующей иностранной валюте на дату принятия облисполкомом решения о предоставлении возмещения.</w:t>
            </w:r>
          </w:p>
        </w:tc>
      </w:tr>
      <w:tr w:rsidR="00AE4577" w:rsidRPr="00AE4577" w:rsidTr="000D5B24">
        <w:tc>
          <w:tcPr>
            <w:tcW w:w="15348" w:type="dxa"/>
            <w:gridSpan w:val="2"/>
            <w:shd w:val="clear" w:color="auto" w:fill="auto"/>
          </w:tcPr>
          <w:p w:rsidR="006A7D51" w:rsidRPr="00AE4577" w:rsidRDefault="006A7D51" w:rsidP="00AE4577">
            <w:pPr>
              <w:pStyle w:val="newncpi"/>
              <w:ind w:left="-28" w:right="-28" w:hanging="28"/>
              <w:jc w:val="center"/>
              <w:rPr>
                <w:b/>
                <w:u w:val="single"/>
              </w:rPr>
            </w:pPr>
            <w:r w:rsidRPr="00AE4577">
              <w:rPr>
                <w:b/>
              </w:rPr>
              <w:t>Возмещение осуществляется в пределах средств, запланированных в областном бюджете на эти цели</w:t>
            </w:r>
            <w:r w:rsidRPr="00AE4577">
              <w:t>.</w:t>
            </w:r>
          </w:p>
        </w:tc>
      </w:tr>
      <w:tr w:rsidR="00AE4577" w:rsidRPr="00AE4577" w:rsidTr="000D5B24">
        <w:tc>
          <w:tcPr>
            <w:tcW w:w="7674" w:type="dxa"/>
            <w:shd w:val="clear" w:color="auto" w:fill="auto"/>
          </w:tcPr>
          <w:p w:rsidR="006A7D51" w:rsidRPr="00AE4577" w:rsidRDefault="006A7D51" w:rsidP="00AE4577">
            <w:pPr>
              <w:pStyle w:val="point"/>
              <w:rPr>
                <w:u w:val="single"/>
              </w:rPr>
            </w:pPr>
            <w:r w:rsidRPr="00AE4577">
              <w:rPr>
                <w:b/>
                <w:u w:val="single"/>
              </w:rPr>
              <w:t>Возмещение не предоставляется</w:t>
            </w:r>
            <w:r w:rsidRPr="00AE4577">
              <w:rPr>
                <w:u w:val="single"/>
              </w:rPr>
              <w:t>:</w:t>
            </w:r>
          </w:p>
          <w:p w:rsidR="006A7D51" w:rsidRPr="00AE4577" w:rsidRDefault="006A7D51" w:rsidP="00AE4577">
            <w:pPr>
              <w:pStyle w:val="newncpi"/>
            </w:pPr>
            <w:r w:rsidRPr="00AE4577">
              <w:t>* в отношении выставок, включенных в план национальных выставок (экспозиций) Республики Беларусь в иностранных государствах, ежегодно утверждаемый Советом Министров Республики Беларусь;</w:t>
            </w:r>
          </w:p>
          <w:p w:rsidR="006A7D51" w:rsidRPr="00AE4577" w:rsidRDefault="006A7D51" w:rsidP="00AE4577">
            <w:pPr>
              <w:pStyle w:val="newncpi"/>
            </w:pPr>
            <w:r w:rsidRPr="00AE4577">
              <w:t>* юридическим лицам, индивидуальным предпринимателям, получившим для участия в выставке государственную поддержку (претендующим на ее получение) за счет средств республиканского и (или) местных бюджетов в рамках программ государственной поддержки малого и среднего предпринимательства.</w:t>
            </w:r>
          </w:p>
          <w:p w:rsidR="006A7D51" w:rsidRPr="00AE4577" w:rsidRDefault="006A7D51" w:rsidP="00AE4577">
            <w:pPr>
              <w:pStyle w:val="newncpi"/>
            </w:pPr>
            <w:r w:rsidRPr="00AE4577">
              <w:lastRenderedPageBreak/>
              <w:t>Возмещение также не предоставляется, если на дату подачи заявления о его предоставлении юридические лица, индивидуальные предприниматели, зарегистрированные на территории Витебской области:</w:t>
            </w:r>
          </w:p>
          <w:p w:rsidR="006A7D51" w:rsidRPr="00AE4577" w:rsidRDefault="006A7D51" w:rsidP="00AE4577">
            <w:pPr>
              <w:pStyle w:val="newncpi"/>
            </w:pPr>
            <w:r w:rsidRPr="00AE4577">
              <w:t>* имеют задолженность по платежам в республиканский, местные бюджеты и бюджеты государственных внебюджетных фондов;</w:t>
            </w:r>
          </w:p>
          <w:p w:rsidR="006A7D51" w:rsidRPr="00AE4577" w:rsidRDefault="006A7D51" w:rsidP="00AE4577">
            <w:pPr>
              <w:pStyle w:val="newncpi"/>
            </w:pPr>
            <w:r w:rsidRPr="00AE4577">
              <w:t>* не выполнили свои обязательства по ранее предоставленным займам (кредитам), выданным под гарантии Правительства Республики Беларусь, местных исполнительных и распорядительных органов;</w:t>
            </w:r>
          </w:p>
          <w:p w:rsidR="006A7D51" w:rsidRPr="00AE4577" w:rsidRDefault="006A7D51" w:rsidP="00AE4577">
            <w:pPr>
              <w:pStyle w:val="newncpi"/>
            </w:pPr>
            <w:r w:rsidRPr="00AE4577">
              <w:t>* не выполнили свои обязательства по исполненным гарантиям Правительства Республики Беларусь, местных исполнительных и распорядительных органов, бюджетным ссудам, бюджетным займам либо выполнили указанные обязательства за счет бюджетных средств;</w:t>
            </w:r>
          </w:p>
          <w:p w:rsidR="006A7D51" w:rsidRPr="00AE4577" w:rsidRDefault="006A7D51" w:rsidP="00AE4577">
            <w:pPr>
              <w:pStyle w:val="newncpi"/>
            </w:pPr>
            <w:r w:rsidRPr="00AE4577">
              <w:t>* находятся в процессе ликвидации (прекращения деятельности), процедуре экономической несостоятельности (банкротства).</w:t>
            </w:r>
          </w:p>
        </w:tc>
        <w:tc>
          <w:tcPr>
            <w:tcW w:w="7674" w:type="dxa"/>
            <w:shd w:val="clear" w:color="auto" w:fill="auto"/>
          </w:tcPr>
          <w:p w:rsidR="006A7D51" w:rsidRPr="00AE4577" w:rsidRDefault="006A7D51" w:rsidP="00AE4577">
            <w:pPr>
              <w:pStyle w:val="point"/>
            </w:pPr>
            <w:r w:rsidRPr="00AE4577">
              <w:rPr>
                <w:b/>
                <w:u w:val="single"/>
              </w:rPr>
              <w:lastRenderedPageBreak/>
              <w:t>Возмещение не предоставляется</w:t>
            </w:r>
            <w:r w:rsidRPr="00AE4577">
              <w:t>, если на дату подачи заявления о его предоставлении юридические лица, индивидуальные предприниматели, зарегистрированные на территории Витебской области:</w:t>
            </w:r>
          </w:p>
          <w:p w:rsidR="006A7D51" w:rsidRPr="00AE4577" w:rsidRDefault="006A7D51" w:rsidP="00AE4577">
            <w:pPr>
              <w:pStyle w:val="newncpi"/>
            </w:pPr>
            <w:r w:rsidRPr="00AE4577">
              <w:t xml:space="preserve">* имеют задолженность по платежам </w:t>
            </w:r>
            <w:proofErr w:type="gramStart"/>
            <w:r w:rsidRPr="00AE4577">
              <w:t>в  республиканский</w:t>
            </w:r>
            <w:proofErr w:type="gramEnd"/>
            <w:r w:rsidRPr="00AE4577">
              <w:t>, местные бюджеты и бюджеты государственных внебюджетных фондов;</w:t>
            </w:r>
          </w:p>
          <w:p w:rsidR="006A7D51" w:rsidRPr="00AE4577" w:rsidRDefault="006A7D51" w:rsidP="00AE4577">
            <w:pPr>
              <w:pStyle w:val="newncpi"/>
            </w:pPr>
            <w:r w:rsidRPr="00AE4577">
              <w:t>* не выполнили свои обязательства по ранее предоставленным займам (кредитам), выданным под гарантии Правительства Республики Беларусь, местных исполнительных и распорядительных органов;</w:t>
            </w:r>
          </w:p>
          <w:p w:rsidR="006A7D51" w:rsidRPr="00AE4577" w:rsidRDefault="006A7D51" w:rsidP="00AE4577">
            <w:pPr>
              <w:pStyle w:val="newncpi"/>
            </w:pPr>
            <w:r w:rsidRPr="00AE4577">
              <w:lastRenderedPageBreak/>
              <w:t>* не выполнили свои обязательства по исполненным гарантиям Правительства Республики Беларусь, местных исполнительных и распорядительных органов, бюджетным ссудам, бюджетным займам либо выполнили указанные обязательства за счет бюджетных средств;</w:t>
            </w:r>
          </w:p>
          <w:p w:rsidR="006A7D51" w:rsidRPr="00AE4577" w:rsidRDefault="006A7D51" w:rsidP="00AE4577">
            <w:pPr>
              <w:pStyle w:val="newncpi"/>
            </w:pPr>
            <w:r w:rsidRPr="00AE4577">
              <w:t>* находятся в процессе ликвидации (прекращения деятельности), процедуре экономической несостоятельности (банкротства).</w:t>
            </w:r>
          </w:p>
          <w:p w:rsidR="006A7D51" w:rsidRPr="00AE4577" w:rsidRDefault="006A7D51" w:rsidP="00AE4577">
            <w:pPr>
              <w:rPr>
                <w:rFonts w:cs="Times New Roman"/>
                <w:b/>
                <w:bCs/>
                <w:sz w:val="24"/>
                <w:szCs w:val="24"/>
              </w:rPr>
            </w:pPr>
          </w:p>
        </w:tc>
      </w:tr>
      <w:tr w:rsidR="00AE4577" w:rsidRPr="00AE4577" w:rsidTr="000D5B24">
        <w:tc>
          <w:tcPr>
            <w:tcW w:w="7674" w:type="dxa"/>
            <w:shd w:val="clear" w:color="auto" w:fill="auto"/>
          </w:tcPr>
          <w:p w:rsidR="006A7D51" w:rsidRPr="00AE4577" w:rsidRDefault="006A7D51" w:rsidP="00AE4577">
            <w:pPr>
              <w:pStyle w:val="point"/>
            </w:pPr>
            <w:r w:rsidRPr="00AE4577">
              <w:lastRenderedPageBreak/>
              <w:t xml:space="preserve">Возмещение предоставляется </w:t>
            </w:r>
            <w:r w:rsidRPr="00AE4577">
              <w:rPr>
                <w:b/>
              </w:rPr>
              <w:t>не более одного раза</w:t>
            </w:r>
            <w:r w:rsidRPr="00AE4577">
              <w:t xml:space="preserve"> в течение календарного года юридическим лицам, индивидуальным предпринимателям, осуществляющим производство продукции (выполнение работ, оказание услуг) и участвующим в выставке.</w:t>
            </w:r>
          </w:p>
        </w:tc>
        <w:tc>
          <w:tcPr>
            <w:tcW w:w="7674" w:type="dxa"/>
            <w:shd w:val="clear" w:color="auto" w:fill="auto"/>
          </w:tcPr>
          <w:p w:rsidR="006A7D51" w:rsidRPr="00AE4577" w:rsidRDefault="006A7D51" w:rsidP="00AE4577">
            <w:pPr>
              <w:pStyle w:val="point"/>
            </w:pPr>
            <w:r w:rsidRPr="00AE4577">
              <w:t xml:space="preserve">Возмещение предоставляется юридическому лицу, индивидуальному предпринимателю </w:t>
            </w:r>
            <w:r w:rsidRPr="00AE4577">
              <w:rPr>
                <w:b/>
              </w:rPr>
              <w:t>не более двух раз</w:t>
            </w:r>
            <w:r w:rsidRPr="00AE4577">
              <w:t xml:space="preserve"> в течение календарного года.</w:t>
            </w:r>
          </w:p>
        </w:tc>
      </w:tr>
    </w:tbl>
    <w:p w:rsidR="006A7D51" w:rsidRPr="006A7D51" w:rsidRDefault="006A7D51" w:rsidP="006A7D51">
      <w:pPr>
        <w:shd w:val="clear" w:color="auto" w:fill="FFFFFF"/>
        <w:rPr>
          <w:rFonts w:ascii="Arial" w:eastAsia="Times New Roman" w:hAnsi="Arial" w:cs="Arial"/>
          <w:color w:val="4F4F4F"/>
          <w:sz w:val="24"/>
          <w:szCs w:val="24"/>
          <w:lang w:eastAsia="ru-RU"/>
        </w:rPr>
      </w:pPr>
    </w:p>
    <w:sectPr w:rsidR="006A7D51" w:rsidRPr="006A7D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D51"/>
    <w:rsid w:val="00514336"/>
    <w:rsid w:val="006A7D51"/>
    <w:rsid w:val="00AE4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8E175"/>
  <w15:chartTrackingRefBased/>
  <w15:docId w15:val="{2DF40F70-3D71-4616-A452-8BAB2F32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A7D51"/>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7D51"/>
    <w:rPr>
      <w:rFonts w:eastAsia="Times New Roman" w:cs="Times New Roman"/>
      <w:b/>
      <w:bCs/>
      <w:kern w:val="36"/>
      <w:sz w:val="48"/>
      <w:szCs w:val="48"/>
      <w:lang w:eastAsia="ru-RU"/>
    </w:rPr>
  </w:style>
  <w:style w:type="paragraph" w:styleId="a3">
    <w:name w:val="Normal (Web)"/>
    <w:basedOn w:val="a"/>
    <w:uiPriority w:val="99"/>
    <w:semiHidden/>
    <w:unhideWhenUsed/>
    <w:rsid w:val="006A7D51"/>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semiHidden/>
    <w:unhideWhenUsed/>
    <w:rsid w:val="006A7D51"/>
    <w:rPr>
      <w:color w:val="0000FF"/>
      <w:u w:val="single"/>
    </w:rPr>
  </w:style>
  <w:style w:type="character" w:customStyle="1" w:styleId="anonceint">
    <w:name w:val="anonce_in_t"/>
    <w:basedOn w:val="a0"/>
    <w:rsid w:val="006A7D51"/>
  </w:style>
  <w:style w:type="character" w:customStyle="1" w:styleId="newsitemdata">
    <w:name w:val="news_item_data"/>
    <w:basedOn w:val="a0"/>
    <w:rsid w:val="006A7D51"/>
  </w:style>
  <w:style w:type="paragraph" w:customStyle="1" w:styleId="point">
    <w:name w:val="point"/>
    <w:basedOn w:val="a"/>
    <w:rsid w:val="006A7D51"/>
    <w:pPr>
      <w:ind w:firstLine="567"/>
      <w:jc w:val="both"/>
    </w:pPr>
    <w:rPr>
      <w:rFonts w:eastAsia="Times New Roman" w:cs="Times New Roman"/>
      <w:sz w:val="24"/>
      <w:szCs w:val="24"/>
      <w:lang w:eastAsia="ru-RU"/>
    </w:rPr>
  </w:style>
  <w:style w:type="paragraph" w:customStyle="1" w:styleId="newncpi">
    <w:name w:val="newncpi"/>
    <w:basedOn w:val="a"/>
    <w:rsid w:val="006A7D51"/>
    <w:pPr>
      <w:ind w:firstLine="567"/>
      <w:jc w:val="both"/>
    </w:pPr>
    <w:rPr>
      <w:rFonts w:eastAsia="Times New Roman" w:cs="Times New Roman"/>
      <w:sz w:val="24"/>
      <w:szCs w:val="24"/>
      <w:lang w:eastAsia="ru-RU"/>
    </w:rPr>
  </w:style>
  <w:style w:type="paragraph" w:customStyle="1" w:styleId="snoski">
    <w:name w:val="snoski"/>
    <w:basedOn w:val="a"/>
    <w:rsid w:val="006A7D51"/>
    <w:pPr>
      <w:ind w:firstLine="567"/>
      <w:jc w:val="both"/>
    </w:pPr>
    <w:rPr>
      <w:rFonts w:eastAsia="Times New Roman" w:cs="Times New Roman"/>
      <w:sz w:val="20"/>
      <w:szCs w:val="20"/>
      <w:lang w:eastAsia="ru-RU"/>
    </w:rPr>
  </w:style>
  <w:style w:type="paragraph" w:customStyle="1" w:styleId="snoskiline">
    <w:name w:val="snoskiline"/>
    <w:basedOn w:val="a"/>
    <w:rsid w:val="006A7D51"/>
    <w:pPr>
      <w:jc w:val="both"/>
    </w:pPr>
    <w:rPr>
      <w:rFonts w:eastAsia="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223073">
      <w:bodyDiv w:val="1"/>
      <w:marLeft w:val="0"/>
      <w:marRight w:val="0"/>
      <w:marTop w:val="0"/>
      <w:marBottom w:val="0"/>
      <w:divBdr>
        <w:top w:val="none" w:sz="0" w:space="0" w:color="auto"/>
        <w:left w:val="none" w:sz="0" w:space="0" w:color="auto"/>
        <w:bottom w:val="none" w:sz="0" w:space="0" w:color="auto"/>
        <w:right w:val="none" w:sz="0" w:space="0" w:color="auto"/>
      </w:divBdr>
      <w:divsChild>
        <w:div w:id="1540044909">
          <w:marLeft w:val="450"/>
          <w:marRight w:val="450"/>
          <w:marTop w:val="675"/>
          <w:marBottom w:val="675"/>
          <w:divBdr>
            <w:top w:val="none" w:sz="0" w:space="0" w:color="auto"/>
            <w:left w:val="none" w:sz="0" w:space="0" w:color="auto"/>
            <w:bottom w:val="none" w:sz="0" w:space="0" w:color="auto"/>
            <w:right w:val="none" w:sz="0" w:space="0" w:color="auto"/>
          </w:divBdr>
          <w:divsChild>
            <w:div w:id="1757365396">
              <w:marLeft w:val="0"/>
              <w:marRight w:val="0"/>
              <w:marTop w:val="0"/>
              <w:marBottom w:val="0"/>
              <w:divBdr>
                <w:top w:val="none" w:sz="0" w:space="0" w:color="auto"/>
                <w:left w:val="none" w:sz="0" w:space="0" w:color="auto"/>
                <w:bottom w:val="none" w:sz="0" w:space="0" w:color="auto"/>
                <w:right w:val="none" w:sz="0" w:space="0" w:color="auto"/>
              </w:divBdr>
              <w:divsChild>
                <w:div w:id="1057822047">
                  <w:marLeft w:val="0"/>
                  <w:marRight w:val="0"/>
                  <w:marTop w:val="0"/>
                  <w:marBottom w:val="0"/>
                  <w:divBdr>
                    <w:top w:val="none" w:sz="0" w:space="0" w:color="auto"/>
                    <w:left w:val="none" w:sz="0" w:space="0" w:color="auto"/>
                    <w:bottom w:val="none" w:sz="0" w:space="0" w:color="auto"/>
                    <w:right w:val="none" w:sz="0" w:space="0" w:color="auto"/>
                  </w:divBdr>
                </w:div>
              </w:divsChild>
            </w:div>
            <w:div w:id="2137218714">
              <w:marLeft w:val="0"/>
              <w:marRight w:val="0"/>
              <w:marTop w:val="0"/>
              <w:marBottom w:val="0"/>
              <w:divBdr>
                <w:top w:val="none" w:sz="0" w:space="0" w:color="auto"/>
                <w:left w:val="none" w:sz="0" w:space="0" w:color="auto"/>
                <w:bottom w:val="none" w:sz="0" w:space="0" w:color="auto"/>
                <w:right w:val="none" w:sz="0" w:space="0" w:color="auto"/>
              </w:divBdr>
            </w:div>
          </w:divsChild>
        </w:div>
        <w:div w:id="1915318632">
          <w:marLeft w:val="0"/>
          <w:marRight w:val="525"/>
          <w:marTop w:val="675"/>
          <w:marBottom w:val="675"/>
          <w:divBdr>
            <w:top w:val="none" w:sz="0" w:space="0" w:color="auto"/>
            <w:left w:val="none" w:sz="0" w:space="0" w:color="auto"/>
            <w:bottom w:val="none" w:sz="0" w:space="0" w:color="auto"/>
            <w:right w:val="none" w:sz="0" w:space="0" w:color="auto"/>
          </w:divBdr>
          <w:divsChild>
            <w:div w:id="2105413579">
              <w:marLeft w:val="0"/>
              <w:marRight w:val="0"/>
              <w:marTop w:val="0"/>
              <w:marBottom w:val="0"/>
              <w:divBdr>
                <w:top w:val="none" w:sz="0" w:space="0" w:color="auto"/>
                <w:left w:val="none" w:sz="0" w:space="0" w:color="auto"/>
                <w:bottom w:val="none" w:sz="0" w:space="0" w:color="auto"/>
                <w:right w:val="none" w:sz="0" w:space="0" w:color="auto"/>
              </w:divBdr>
              <w:divsChild>
                <w:div w:id="305165810">
                  <w:marLeft w:val="0"/>
                  <w:marRight w:val="0"/>
                  <w:marTop w:val="0"/>
                  <w:marBottom w:val="0"/>
                  <w:divBdr>
                    <w:top w:val="none" w:sz="0" w:space="0" w:color="auto"/>
                    <w:left w:val="none" w:sz="0" w:space="0" w:color="auto"/>
                    <w:bottom w:val="none" w:sz="0" w:space="0" w:color="auto"/>
                    <w:right w:val="none" w:sz="0" w:space="0" w:color="auto"/>
                  </w:divBdr>
                  <w:divsChild>
                    <w:div w:id="1136336341">
                      <w:marLeft w:val="0"/>
                      <w:marRight w:val="0"/>
                      <w:marTop w:val="0"/>
                      <w:marBottom w:val="750"/>
                      <w:divBdr>
                        <w:top w:val="none" w:sz="0" w:space="0" w:color="auto"/>
                        <w:left w:val="single" w:sz="12" w:space="19" w:color="E6C76B"/>
                        <w:bottom w:val="single" w:sz="6" w:space="8" w:color="E6C76B"/>
                        <w:right w:val="single" w:sz="12" w:space="11" w:color="E6C76B"/>
                      </w:divBdr>
                      <w:divsChild>
                        <w:div w:id="1265771952">
                          <w:marLeft w:val="0"/>
                          <w:marRight w:val="0"/>
                          <w:marTop w:val="0"/>
                          <w:marBottom w:val="450"/>
                          <w:divBdr>
                            <w:top w:val="none" w:sz="0" w:space="0" w:color="auto"/>
                            <w:left w:val="none" w:sz="0" w:space="0" w:color="auto"/>
                            <w:bottom w:val="none" w:sz="0" w:space="0" w:color="auto"/>
                            <w:right w:val="none" w:sz="0" w:space="0" w:color="auto"/>
                          </w:divBdr>
                        </w:div>
                        <w:div w:id="1400321530">
                          <w:marLeft w:val="0"/>
                          <w:marRight w:val="0"/>
                          <w:marTop w:val="0"/>
                          <w:marBottom w:val="450"/>
                          <w:divBdr>
                            <w:top w:val="none" w:sz="0" w:space="0" w:color="auto"/>
                            <w:left w:val="none" w:sz="0" w:space="0" w:color="auto"/>
                            <w:bottom w:val="none" w:sz="0" w:space="0" w:color="auto"/>
                            <w:right w:val="none" w:sz="0" w:space="0" w:color="auto"/>
                          </w:divBdr>
                        </w:div>
                        <w:div w:id="1249004502">
                          <w:marLeft w:val="0"/>
                          <w:marRight w:val="0"/>
                          <w:marTop w:val="0"/>
                          <w:marBottom w:val="450"/>
                          <w:divBdr>
                            <w:top w:val="none" w:sz="0" w:space="0" w:color="auto"/>
                            <w:left w:val="none" w:sz="0" w:space="0" w:color="auto"/>
                            <w:bottom w:val="none" w:sz="0" w:space="0" w:color="auto"/>
                            <w:right w:val="none" w:sz="0" w:space="0" w:color="auto"/>
                          </w:divBdr>
                        </w:div>
                        <w:div w:id="21325063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2773211">
          <w:marLeft w:val="0"/>
          <w:marRight w:val="0"/>
          <w:marTop w:val="0"/>
          <w:marBottom w:val="0"/>
          <w:divBdr>
            <w:top w:val="single" w:sz="6" w:space="20" w:color="A4C1DD"/>
            <w:left w:val="none" w:sz="0" w:space="0" w:color="auto"/>
            <w:bottom w:val="none" w:sz="0" w:space="0" w:color="auto"/>
            <w:right w:val="none" w:sz="0" w:space="0" w:color="auto"/>
          </w:divBdr>
          <w:divsChild>
            <w:div w:id="117803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tebsk-region.gov.by/uploads/files/Polozhenie-o-vozmeschenii-chasti-rasxodov-na-provedenie-otsenki-sootvetstvija-produktsii-v-inostrannyx-gosudarstvax-1.d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vitebsk-region.gov.by/uploads/files/Forma-zajavlenija-po-vystavkam.do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tebsk-region.gov.by/uploads/files/PEREChEN-mezhdunarodnyx-spetsializirovannyx-vystavok-jarmarok-v-inostrannyx-gosudarstvax-rasxody-na-uchastie-v-kotoryx-vozmeschajutsja-v-2022-godu.pdf" TargetMode="External"/><Relationship Id="rId11" Type="http://schemas.openxmlformats.org/officeDocument/2006/relationships/hyperlink" Target="https://vitebsk-region.gov.by/uploads/files/PEREChEN-mezhdunarodnyx-spetsializirovannyx-vystavok-jarmarok-v-inostrannyx-gosudarstvax-rasxody-na-uchastie-v-kotoryx-vozmeschajutsja-v-2020-god.pdf" TargetMode="External"/><Relationship Id="rId5" Type="http://schemas.openxmlformats.org/officeDocument/2006/relationships/hyperlink" Target="https://vitebsk-region.gov.by/uploads/files/Polozhenie-o-vozmeschenii-chasti-rasxodov-na-uchastie-v-mezhdunarodnyx-spetsializirovannyx-vy-stavkax-jarmarkax-v-inostrannyx-gosudarstvax-1-2.doc" TargetMode="External"/><Relationship Id="rId10" Type="http://schemas.openxmlformats.org/officeDocument/2006/relationships/hyperlink" Target="https://vitebsk-region.gov.by/uploads/files/porjadok-po-Ukazu.doc" TargetMode="External"/><Relationship Id="rId4" Type="http://schemas.openxmlformats.org/officeDocument/2006/relationships/hyperlink" Target="https://vitebsk-region.gov.by/uploads/files/UKAZ-412.doc" TargetMode="External"/><Relationship Id="rId9" Type="http://schemas.openxmlformats.org/officeDocument/2006/relationships/hyperlink" Target="https://vitebsk-region.gov.by/uploads/files/Forma-zajavlenija-po-sertifikatsii.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1739</Words>
  <Characters>9915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2022-07-29T08:15:00Z</dcterms:created>
  <dcterms:modified xsi:type="dcterms:W3CDTF">2022-07-29T08:24:00Z</dcterms:modified>
</cp:coreProperties>
</file>