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78" w:rsidRDefault="00E44A78">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E44A78" w:rsidRDefault="00E44A78">
      <w:pPr>
        <w:pStyle w:val="newncpi"/>
        <w:ind w:firstLine="0"/>
        <w:jc w:val="center"/>
      </w:pPr>
      <w:r>
        <w:rPr>
          <w:rStyle w:val="datepr"/>
        </w:rPr>
        <w:t>18 марта 2022 г.</w:t>
      </w:r>
      <w:r>
        <w:rPr>
          <w:rStyle w:val="number"/>
        </w:rPr>
        <w:t xml:space="preserve"> № 19</w:t>
      </w:r>
    </w:p>
    <w:p w:rsidR="00E44A78" w:rsidRDefault="00E44A78">
      <w:pPr>
        <w:pStyle w:val="titlencpi"/>
      </w:pPr>
      <w:r>
        <w:t>Об утверждении Инструкции о порядке проведения республиканского конкурса «Семья года»</w:t>
      </w:r>
    </w:p>
    <w:p w:rsidR="00E44A78" w:rsidRDefault="00E44A78">
      <w:pPr>
        <w:pStyle w:val="preamble"/>
      </w:pPr>
      <w:r>
        <w:t>На основании подпункта 7.1.12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E44A78" w:rsidRDefault="00E44A78">
      <w:pPr>
        <w:pStyle w:val="point"/>
      </w:pPr>
      <w:r>
        <w:t>1. Утвердить Инструкцию о порядке проведения республиканского конкурса «Семья года» (прилагается).</w:t>
      </w:r>
    </w:p>
    <w:p w:rsidR="00E44A78" w:rsidRDefault="00E44A78">
      <w:pPr>
        <w:pStyle w:val="point"/>
      </w:pPr>
      <w:r>
        <w:t>2. Настоящее постановление вступает в силу после его официального опубликования.</w:t>
      </w:r>
    </w:p>
    <w:p w:rsidR="00E44A78" w:rsidRDefault="00E44A78">
      <w:pPr>
        <w:pStyle w:val="newncpi"/>
      </w:pPr>
      <w:r>
        <w:t> </w:t>
      </w:r>
    </w:p>
    <w:tbl>
      <w:tblPr>
        <w:tblW w:w="5000" w:type="pct"/>
        <w:tblCellMar>
          <w:left w:w="0" w:type="dxa"/>
          <w:right w:w="0" w:type="dxa"/>
        </w:tblCellMar>
        <w:tblLook w:val="04A0"/>
      </w:tblPr>
      <w:tblGrid>
        <w:gridCol w:w="4684"/>
        <w:gridCol w:w="4685"/>
      </w:tblGrid>
      <w:tr w:rsidR="00E44A78">
        <w:tc>
          <w:tcPr>
            <w:tcW w:w="2500" w:type="pct"/>
            <w:tcMar>
              <w:top w:w="0" w:type="dxa"/>
              <w:left w:w="6" w:type="dxa"/>
              <w:bottom w:w="0" w:type="dxa"/>
              <w:right w:w="6" w:type="dxa"/>
            </w:tcMar>
            <w:vAlign w:val="bottom"/>
            <w:hideMark/>
          </w:tcPr>
          <w:p w:rsidR="00E44A78" w:rsidRDefault="00E44A78">
            <w:pPr>
              <w:pStyle w:val="newncpi0"/>
              <w:jc w:val="left"/>
            </w:pPr>
            <w:r>
              <w:rPr>
                <w:rStyle w:val="post"/>
              </w:rPr>
              <w:t>Министр</w:t>
            </w:r>
          </w:p>
        </w:tc>
        <w:tc>
          <w:tcPr>
            <w:tcW w:w="2500" w:type="pct"/>
            <w:tcMar>
              <w:top w:w="0" w:type="dxa"/>
              <w:left w:w="6" w:type="dxa"/>
              <w:bottom w:w="0" w:type="dxa"/>
              <w:right w:w="6" w:type="dxa"/>
            </w:tcMar>
            <w:vAlign w:val="bottom"/>
            <w:hideMark/>
          </w:tcPr>
          <w:p w:rsidR="00E44A78" w:rsidRDefault="00E44A78">
            <w:pPr>
              <w:pStyle w:val="newncpi0"/>
              <w:jc w:val="right"/>
            </w:pPr>
            <w:r>
              <w:rPr>
                <w:rStyle w:val="pers"/>
              </w:rPr>
              <w:t>И.А.Костевич</w:t>
            </w:r>
          </w:p>
        </w:tc>
      </w:tr>
    </w:tbl>
    <w:p w:rsidR="00E44A78" w:rsidRDefault="00E44A78">
      <w:pPr>
        <w:pStyle w:val="newncpi"/>
      </w:pPr>
      <w:r>
        <w:t> </w:t>
      </w:r>
    </w:p>
    <w:tbl>
      <w:tblPr>
        <w:tblW w:w="5000" w:type="pct"/>
        <w:tblCellMar>
          <w:left w:w="0" w:type="dxa"/>
          <w:right w:w="0" w:type="dxa"/>
        </w:tblCellMar>
        <w:tblLook w:val="04A0"/>
      </w:tblPr>
      <w:tblGrid>
        <w:gridCol w:w="7523"/>
        <w:gridCol w:w="1846"/>
      </w:tblGrid>
      <w:tr w:rsidR="00E44A78">
        <w:trPr>
          <w:trHeight w:val="240"/>
        </w:trPr>
        <w:tc>
          <w:tcPr>
            <w:tcW w:w="4015" w:type="pct"/>
            <w:tcMar>
              <w:top w:w="0" w:type="dxa"/>
              <w:left w:w="6" w:type="dxa"/>
              <w:bottom w:w="0" w:type="dxa"/>
              <w:right w:w="6" w:type="dxa"/>
            </w:tcMar>
            <w:hideMark/>
          </w:tcPr>
          <w:p w:rsidR="00E44A78" w:rsidRDefault="00E44A78">
            <w:pPr>
              <w:pStyle w:val="agree"/>
            </w:pPr>
            <w:r>
              <w:t>СОГЛАСОВАНО</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pPr>
            <w:r>
              <w:t xml:space="preserve">Министерство финансов </w:t>
            </w:r>
            <w:r>
              <w:br/>
              <w:t>Республики Беларусь</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Министерство информации </w:t>
            </w:r>
            <w:r>
              <w:br/>
              <w:t>Республики Беларусь</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Министерство культуры </w:t>
            </w:r>
            <w:r>
              <w:br/>
              <w:t>Республики Беларусь</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Министерство образования </w:t>
            </w:r>
            <w:r>
              <w:br/>
              <w:t>Республики Беларусь</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Брестский областной </w:t>
            </w:r>
            <w:r>
              <w:br/>
              <w:t>исполнительный комитет</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Витебский областной </w:t>
            </w:r>
            <w:r>
              <w:br/>
              <w:t>исполнительный комитет</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Гомельский областной </w:t>
            </w:r>
            <w:r>
              <w:br/>
              <w:t>исполнительный комитет</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Гродненский областной </w:t>
            </w:r>
            <w:r>
              <w:br/>
              <w:t>исполнительный комитет</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Минский областной </w:t>
            </w:r>
            <w:r>
              <w:br/>
              <w:t>исполнительный комитет</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Минский городской </w:t>
            </w:r>
            <w:r>
              <w:br/>
              <w:t>исполнительный комитет</w:t>
            </w:r>
          </w:p>
        </w:tc>
        <w:tc>
          <w:tcPr>
            <w:tcW w:w="985" w:type="pct"/>
            <w:tcMar>
              <w:top w:w="0" w:type="dxa"/>
              <w:left w:w="6" w:type="dxa"/>
              <w:bottom w:w="0" w:type="dxa"/>
              <w:right w:w="6" w:type="dxa"/>
            </w:tcMar>
            <w:hideMark/>
          </w:tcPr>
          <w:p w:rsidR="00E44A78" w:rsidRDefault="00E44A78">
            <w:pPr>
              <w:pStyle w:val="table10"/>
            </w:pPr>
            <w:r>
              <w:t> </w:t>
            </w:r>
          </w:p>
        </w:tc>
      </w:tr>
      <w:tr w:rsidR="00E44A78">
        <w:trPr>
          <w:trHeight w:val="240"/>
        </w:trPr>
        <w:tc>
          <w:tcPr>
            <w:tcW w:w="4015" w:type="pct"/>
            <w:tcMar>
              <w:top w:w="0" w:type="dxa"/>
              <w:left w:w="6" w:type="dxa"/>
              <w:bottom w:w="0" w:type="dxa"/>
              <w:right w:w="6" w:type="dxa"/>
            </w:tcMar>
            <w:hideMark/>
          </w:tcPr>
          <w:p w:rsidR="00E44A78" w:rsidRDefault="00E44A78">
            <w:pPr>
              <w:pStyle w:val="agree"/>
              <w:spacing w:before="120"/>
            </w:pPr>
            <w:r>
              <w:t xml:space="preserve">Могилевский областной </w:t>
            </w:r>
            <w:r>
              <w:br/>
              <w:t>исполнительный комитет</w:t>
            </w:r>
          </w:p>
        </w:tc>
        <w:tc>
          <w:tcPr>
            <w:tcW w:w="985" w:type="pct"/>
            <w:tcMar>
              <w:top w:w="0" w:type="dxa"/>
              <w:left w:w="6" w:type="dxa"/>
              <w:bottom w:w="0" w:type="dxa"/>
              <w:right w:w="6" w:type="dxa"/>
            </w:tcMar>
            <w:hideMark/>
          </w:tcPr>
          <w:p w:rsidR="00E44A78" w:rsidRDefault="00E44A78">
            <w:pPr>
              <w:pStyle w:val="table10"/>
            </w:pPr>
            <w:r>
              <w:t> </w:t>
            </w:r>
          </w:p>
        </w:tc>
      </w:tr>
    </w:tbl>
    <w:p w:rsidR="00E44A78" w:rsidRDefault="00E44A78">
      <w:pPr>
        <w:pStyle w:val="newncpi"/>
      </w:pPr>
      <w:r>
        <w:t> </w:t>
      </w:r>
    </w:p>
    <w:tbl>
      <w:tblPr>
        <w:tblW w:w="5000" w:type="pct"/>
        <w:tblCellMar>
          <w:left w:w="0" w:type="dxa"/>
          <w:right w:w="0" w:type="dxa"/>
        </w:tblCellMar>
        <w:tblLook w:val="04A0"/>
      </w:tblPr>
      <w:tblGrid>
        <w:gridCol w:w="7027"/>
        <w:gridCol w:w="2342"/>
      </w:tblGrid>
      <w:tr w:rsidR="00E44A78">
        <w:tc>
          <w:tcPr>
            <w:tcW w:w="3750" w:type="pct"/>
            <w:tcMar>
              <w:top w:w="0" w:type="dxa"/>
              <w:left w:w="6" w:type="dxa"/>
              <w:bottom w:w="0" w:type="dxa"/>
              <w:right w:w="6" w:type="dxa"/>
            </w:tcMar>
            <w:hideMark/>
          </w:tcPr>
          <w:p w:rsidR="00E44A78" w:rsidRDefault="00E44A78">
            <w:pPr>
              <w:pStyle w:val="newncpi"/>
            </w:pPr>
            <w:r>
              <w:t> </w:t>
            </w:r>
          </w:p>
        </w:tc>
        <w:tc>
          <w:tcPr>
            <w:tcW w:w="1250" w:type="pct"/>
            <w:tcMar>
              <w:top w:w="0" w:type="dxa"/>
              <w:left w:w="6" w:type="dxa"/>
              <w:bottom w:w="0" w:type="dxa"/>
              <w:right w:w="6" w:type="dxa"/>
            </w:tcMar>
            <w:hideMark/>
          </w:tcPr>
          <w:p w:rsidR="00E44A78" w:rsidRDefault="00E44A78">
            <w:pPr>
              <w:pStyle w:val="capu1"/>
            </w:pPr>
            <w:r>
              <w:t>УТВЕРЖДЕНО</w:t>
            </w:r>
          </w:p>
          <w:p w:rsidR="00E44A78" w:rsidRDefault="00E44A78">
            <w:pPr>
              <w:pStyle w:val="cap1"/>
            </w:pPr>
            <w:r>
              <w:t xml:space="preserve">Постановление </w:t>
            </w:r>
            <w:r>
              <w:br/>
              <w:t xml:space="preserve">Министерства труда </w:t>
            </w:r>
            <w:r>
              <w:br/>
              <w:t xml:space="preserve">и социальной защиты </w:t>
            </w:r>
            <w:r>
              <w:br/>
              <w:t>Республики Беларусь</w:t>
            </w:r>
            <w:r>
              <w:br/>
              <w:t>18.03.2022 № 19</w:t>
            </w:r>
          </w:p>
        </w:tc>
      </w:tr>
    </w:tbl>
    <w:p w:rsidR="00E44A78" w:rsidRDefault="00E44A78">
      <w:pPr>
        <w:pStyle w:val="titleu"/>
      </w:pPr>
      <w:r>
        <w:lastRenderedPageBreak/>
        <w:t>ИНСТРУКЦИЯ</w:t>
      </w:r>
      <w:r>
        <w:br/>
        <w:t>о порядке проведения республиканского конкурса «Семья года»</w:t>
      </w:r>
    </w:p>
    <w:p w:rsidR="00E44A78" w:rsidRDefault="00E44A78">
      <w:pPr>
        <w:pStyle w:val="chapter"/>
      </w:pPr>
      <w:r>
        <w:t>ГЛАВА 1</w:t>
      </w:r>
      <w:r>
        <w:br/>
        <w:t>ОБЩИЕ ПОЛОЖЕНИЯ</w:t>
      </w:r>
    </w:p>
    <w:p w:rsidR="00E44A78" w:rsidRDefault="00E44A78">
      <w:pPr>
        <w:pStyle w:val="point"/>
      </w:pPr>
      <w:r>
        <w:t>1. Настоящая Инструкция определяет порядок организации и проведения республиканского конкурса «Семья года» (далее, если не указано иное, – конкурс).</w:t>
      </w:r>
    </w:p>
    <w:p w:rsidR="00E44A78" w:rsidRDefault="00E44A78">
      <w:pPr>
        <w:pStyle w:val="point"/>
      </w:pPr>
      <w:r>
        <w:t>2. Цель конкурса – укрепление духовно-нравственных основ семьи, возрождение и пропаганда семейных ценностей и традиций.</w:t>
      </w:r>
    </w:p>
    <w:p w:rsidR="00E44A78" w:rsidRDefault="00E44A78">
      <w:pPr>
        <w:pStyle w:val="point"/>
      </w:pPr>
      <w:r>
        <w:t>3. Основными задачами конкурса являются:</w:t>
      </w:r>
    </w:p>
    <w:p w:rsidR="00E44A78" w:rsidRDefault="00E44A78">
      <w:pPr>
        <w:pStyle w:val="newncpi"/>
      </w:pPr>
      <w:r>
        <w:t>повышение роли и престижа семьи в жизни общества как основы государственной демографической политики;</w:t>
      </w:r>
    </w:p>
    <w:p w:rsidR="00E44A78" w:rsidRDefault="00E44A78">
      <w:pPr>
        <w:pStyle w:val="newncpi"/>
      </w:pPr>
      <w:r>
        <w:t>сохранение духовно-нравственных ценностей семьи;</w:t>
      </w:r>
    </w:p>
    <w:p w:rsidR="00E44A78" w:rsidRDefault="00E44A78">
      <w:pPr>
        <w:pStyle w:val="newncpi"/>
      </w:pPr>
      <w:r>
        <w:t>продвижение в обществе идеи ответственного родительства;</w:t>
      </w:r>
    </w:p>
    <w:p w:rsidR="00E44A78" w:rsidRDefault="00E44A78">
      <w:pPr>
        <w:pStyle w:val="newncpi"/>
      </w:pPr>
      <w:r>
        <w:t>образование и воспитание детей и молодежи в системе традиционных семейных ценностей, ориентированных на стабильность отношений, рождение и воспитание детей, здоровый образ жизни, преемственность поколений, взаимопонимание и взаимоподдержку;</w:t>
      </w:r>
    </w:p>
    <w:p w:rsidR="00E44A78" w:rsidRDefault="00E44A78">
      <w:pPr>
        <w:pStyle w:val="newncpi"/>
      </w:pPr>
      <w:r>
        <w:t>привлечение внимания широкой общественности к семье как к важнейшему социальному институту.</w:t>
      </w:r>
    </w:p>
    <w:p w:rsidR="00E44A78" w:rsidRDefault="00E44A78">
      <w:pPr>
        <w:pStyle w:val="point"/>
      </w:pPr>
      <w:r>
        <w:t>4. Конкурс проводится на добровольной основе среди полных семей, воспитывающих двоих и более детей, в которых родители:</w:t>
      </w:r>
    </w:p>
    <w:p w:rsidR="00E44A78" w:rsidRDefault="00E44A78">
      <w:pPr>
        <w:pStyle w:val="newncpi"/>
      </w:pPr>
      <w:r>
        <w:t>являются гражданами Республики Беларусь, постоянно проживающими в Республике Беларусь;</w:t>
      </w:r>
    </w:p>
    <w:p w:rsidR="00E44A78" w:rsidRDefault="00E44A78">
      <w:pPr>
        <w:pStyle w:val="newncpi"/>
      </w:pPr>
      <w:r>
        <w:t>занимают активную гражданскую позицию, воспитывают детей в духе патриотизма, любви к Родине, уважения к старшим, трудолюбия;</w:t>
      </w:r>
    </w:p>
    <w:p w:rsidR="00E44A78" w:rsidRDefault="00E44A78">
      <w:pPr>
        <w:pStyle w:val="newncpi"/>
      </w:pPr>
      <w:r>
        <w:t>создают необходимые условия для воспитания, развития и обучения детей, сохранения и укрепления их здоровья, подготовки к самостоятельной жизни.</w:t>
      </w:r>
    </w:p>
    <w:p w:rsidR="00E44A78" w:rsidRDefault="00E44A78">
      <w:pPr>
        <w:pStyle w:val="chapter"/>
      </w:pPr>
      <w:r>
        <w:t>ГЛАВА 2</w:t>
      </w:r>
      <w:r>
        <w:br/>
        <w:t>ПОРЯДОК ОРГАНИЗАЦИИ И ПРОВЕДЕНИЯ КОНКУРСА</w:t>
      </w:r>
    </w:p>
    <w:p w:rsidR="00E44A78" w:rsidRDefault="00E44A78">
      <w:pPr>
        <w:pStyle w:val="point"/>
      </w:pPr>
      <w:r>
        <w:t>5. Конкурс проводится в соответствии с Государственной программой «Здоровье народа и демографическая безопасность» на 2021–2025 годы, утвержденной постановлением Совета Министров Республики Беларусь от 19 января 2021 г. № 28.</w:t>
      </w:r>
    </w:p>
    <w:p w:rsidR="00E44A78" w:rsidRDefault="00E44A78">
      <w:pPr>
        <w:pStyle w:val="point"/>
      </w:pPr>
      <w:r>
        <w:t>6. Организатором конкурса выступает Министерство труда и социальной защиты при участии Министерства информации, Министерства культуры, Министерства образования, областных и Минского городского исполнительных комитетов, общественных объединений, иных организаций.</w:t>
      </w:r>
    </w:p>
    <w:p w:rsidR="00E44A78" w:rsidRDefault="00E44A78">
      <w:pPr>
        <w:pStyle w:val="point"/>
      </w:pPr>
      <w:r>
        <w:t>7. Конкурс состоит из двух этапов:</w:t>
      </w:r>
    </w:p>
    <w:p w:rsidR="00E44A78" w:rsidRDefault="00E44A78">
      <w:pPr>
        <w:pStyle w:val="newncpi"/>
      </w:pPr>
      <w:r>
        <w:t>первый этап – региональный, приурочен к празднованию Дня семьи (15 мая), проводится в каждой области и г. Минске;</w:t>
      </w:r>
    </w:p>
    <w:p w:rsidR="00E44A78" w:rsidRDefault="00E44A78">
      <w:pPr>
        <w:pStyle w:val="newncpi"/>
      </w:pPr>
      <w:r>
        <w:t>второй этап (финал) – республиканский, приурочен к празднованию Дня матери (14 октября), проводится в г. Минске.</w:t>
      </w:r>
    </w:p>
    <w:p w:rsidR="00E44A78" w:rsidRDefault="00E44A78">
      <w:pPr>
        <w:pStyle w:val="point"/>
      </w:pPr>
      <w:r>
        <w:t>8. Организацию и проведение конкурса обеспечивают:</w:t>
      </w:r>
    </w:p>
    <w:p w:rsidR="00E44A78" w:rsidRDefault="00E44A78">
      <w:pPr>
        <w:pStyle w:val="newncpi"/>
      </w:pPr>
      <w:r>
        <w:t>на первом этапе – областные и Минский городской исполнительные комитеты;</w:t>
      </w:r>
    </w:p>
    <w:p w:rsidR="00E44A78" w:rsidRDefault="00E44A78">
      <w:pPr>
        <w:pStyle w:val="newncpi"/>
      </w:pPr>
      <w:r>
        <w:t>на втором этапе – Министерство труда и социальной защиты.</w:t>
      </w:r>
    </w:p>
    <w:p w:rsidR="00E44A78" w:rsidRDefault="00E44A78">
      <w:pPr>
        <w:pStyle w:val="newncpi"/>
      </w:pPr>
      <w:r>
        <w:t>Областными и Минским городским исполнительными комитетами утверждается смета расходов за счет средств местных бюджетов на проведение и организацию первого этапа конкурса, а также на подготовку и обеспечение участия семей в финале конкурса.</w:t>
      </w:r>
    </w:p>
    <w:p w:rsidR="00E44A78" w:rsidRDefault="00E44A78">
      <w:pPr>
        <w:pStyle w:val="newncpi"/>
      </w:pPr>
      <w:r>
        <w:lastRenderedPageBreak/>
        <w:t>Смета расходов за счет средств республиканского бюджета на проведение и организацию второго этапа конкурса утверждается Министерством труда и социальной защиты.</w:t>
      </w:r>
    </w:p>
    <w:p w:rsidR="00E44A78" w:rsidRDefault="00E44A78">
      <w:pPr>
        <w:pStyle w:val="point"/>
      </w:pPr>
      <w:r>
        <w:t>9. Для подготовки и проведения этапов конкурса создаются организационные комитеты (далее – оргкомитеты), возглавляемые председателями.</w:t>
      </w:r>
    </w:p>
    <w:p w:rsidR="00E44A78" w:rsidRDefault="00E44A78">
      <w:pPr>
        <w:pStyle w:val="newncpi"/>
      </w:pPr>
      <w:r>
        <w:t>Составы оргкомитетов определяются:</w:t>
      </w:r>
    </w:p>
    <w:p w:rsidR="00E44A78" w:rsidRDefault="00E44A78">
      <w:pPr>
        <w:pStyle w:val="newncpi"/>
      </w:pPr>
      <w:r>
        <w:t>на первом этапе – областными и Минским городским исполнительными комитетами;</w:t>
      </w:r>
    </w:p>
    <w:p w:rsidR="00E44A78" w:rsidRDefault="00E44A78">
      <w:pPr>
        <w:pStyle w:val="newncpi"/>
      </w:pPr>
      <w:r>
        <w:t>на втором этапе – Министерством труда и социальной защиты.</w:t>
      </w:r>
    </w:p>
    <w:p w:rsidR="00E44A78" w:rsidRDefault="00E44A78">
      <w:pPr>
        <w:pStyle w:val="point"/>
      </w:pPr>
      <w:r>
        <w:t>10. В состав оргкомитета каждого этапа конкурса могут входить представители республиканских органов государственного управления, местных исполнительных и распорядительных органов, общественных объединений, иных организаций.</w:t>
      </w:r>
    </w:p>
    <w:p w:rsidR="00E44A78" w:rsidRDefault="00E44A78">
      <w:pPr>
        <w:pStyle w:val="point"/>
      </w:pPr>
      <w:r>
        <w:t>11. Оргкомитеты каждого этапа конкурса:</w:t>
      </w:r>
    </w:p>
    <w:p w:rsidR="00E44A78" w:rsidRDefault="00E44A78">
      <w:pPr>
        <w:pStyle w:val="newncpi"/>
      </w:pPr>
      <w:r>
        <w:t>осуществляют непосредственное руководство подготовкой и проведением соответствующего этапа конкурса;</w:t>
      </w:r>
    </w:p>
    <w:p w:rsidR="00E44A78" w:rsidRDefault="00E44A78">
      <w:pPr>
        <w:pStyle w:val="newncpi"/>
      </w:pPr>
      <w:r>
        <w:t>формируют и утверждают составы жюри;</w:t>
      </w:r>
    </w:p>
    <w:p w:rsidR="00E44A78" w:rsidRDefault="00E44A78">
      <w:pPr>
        <w:pStyle w:val="newncpi"/>
      </w:pPr>
      <w:r>
        <w:t>разрабатывают и утверждают программы проведения соответствующего этапа конкурса;</w:t>
      </w:r>
    </w:p>
    <w:p w:rsidR="00E44A78" w:rsidRDefault="00E44A78">
      <w:pPr>
        <w:pStyle w:val="newncpi"/>
      </w:pPr>
      <w:r>
        <w:t>утверждают критерии и показатели конкурсной оценки (балльную систему) и доводят их до сведения кандидатов на участие в конкурсе, участников конкурса не позднее чем за один месяц до проведения соответствующего этапа конкурса;</w:t>
      </w:r>
    </w:p>
    <w:p w:rsidR="00E44A78" w:rsidRDefault="00E44A78">
      <w:pPr>
        <w:pStyle w:val="newncpi"/>
      </w:pPr>
      <w:r>
        <w:t>принимают к рассмотрению заявки и другие необходимые материалы кандидатов на участие в соответствующем этапе конкурса;</w:t>
      </w:r>
    </w:p>
    <w:p w:rsidR="00E44A78" w:rsidRDefault="00E44A78">
      <w:pPr>
        <w:pStyle w:val="newncpi"/>
      </w:pPr>
      <w:r>
        <w:t>обеспечивают освещение в средствах массовой информации хода подготовки, проведения и результатов соответствующего этапа конкурса;</w:t>
      </w:r>
    </w:p>
    <w:p w:rsidR="00E44A78" w:rsidRDefault="00E44A78">
      <w:pPr>
        <w:pStyle w:val="newncpi"/>
      </w:pPr>
      <w:r>
        <w:t>анализируют и обобщают итоги соответствующего этапа конкурса.</w:t>
      </w:r>
    </w:p>
    <w:p w:rsidR="00E44A78" w:rsidRDefault="00E44A78">
      <w:pPr>
        <w:pStyle w:val="point"/>
      </w:pPr>
      <w:r>
        <w:t>12. Решения оргкомитета оформляются протоколами. Оргкомитет правомочен принимать решение, если на заседании присутствует не менее двух третей его состава. Решение оргкомитета считается принятым, если за него проголосовало более половины присутствующих на заседании членов оргкомитета. При равенстве голосов определяющим считается голос председателя оргкомитета.</w:t>
      </w:r>
    </w:p>
    <w:p w:rsidR="00E44A78" w:rsidRDefault="00E44A78">
      <w:pPr>
        <w:pStyle w:val="point"/>
      </w:pPr>
      <w:r>
        <w:t>13. Объявление о проведении конкурса, соответствующее требованиям пункта 4 статьи 927 Гражданского кодекса Республики Беларусь, не позднее одного месяца до начала проведения каждого из этапов размещается в глобальной компьютерной сети Интернет на официальных сайтах:</w:t>
      </w:r>
    </w:p>
    <w:p w:rsidR="00E44A78" w:rsidRDefault="00E44A78">
      <w:pPr>
        <w:pStyle w:val="newncpi"/>
      </w:pPr>
      <w:r>
        <w:t>местных исполнительных и распорядительных органов – при проведении первого этапа конкурса;</w:t>
      </w:r>
    </w:p>
    <w:p w:rsidR="00E44A78" w:rsidRDefault="00E44A78">
      <w:pPr>
        <w:pStyle w:val="newncpi"/>
      </w:pPr>
      <w:r>
        <w:t>Министерства труда и социальной защиты – при проведении финала конкурса.</w:t>
      </w:r>
    </w:p>
    <w:p w:rsidR="00E44A78" w:rsidRDefault="00E44A78">
      <w:pPr>
        <w:pStyle w:val="point"/>
      </w:pPr>
      <w:r>
        <w:t>14. Для участия в первом этапе конкурса учреждением или организацией по месту работы одного из родителей (трудовым коллективом), местным исполнительным и распорядительным органом в оргкомитет первого этапа конкурса до его начала представляются заявка, информационная справка о семье, содержащая анализ основных условий, указанных в пункте 4 настоящей Инструкции, письменное согласие всех совершеннолетних членов семьи (одного из законных представителей несовершеннолетних членов семьи) на обработку персональных данных для целей участия в конкурсе и проведении информационных кампаний в рамках такого конкурса (далее, если не указано иное, – согласие).</w:t>
      </w:r>
    </w:p>
    <w:p w:rsidR="00E44A78" w:rsidRDefault="00E44A78">
      <w:pPr>
        <w:pStyle w:val="newncpi"/>
      </w:pPr>
      <w:r>
        <w:t>Согласие оформляется в соответствии со статьей 5 Закона Республики Беларусь от 7 мая 2021 г. № 99-З «О защите персональных данных» по форме согласно приложению.</w:t>
      </w:r>
    </w:p>
    <w:p w:rsidR="00E44A78" w:rsidRDefault="00E44A78">
      <w:pPr>
        <w:pStyle w:val="newncpi"/>
      </w:pPr>
      <w:r>
        <w:t>В случае отказа совершеннолетних членов семьи (одного из законных представителей несовершеннолетних членов семьи) в даче согласия заявки на участие в конкурсе не рассматриваются.</w:t>
      </w:r>
    </w:p>
    <w:p w:rsidR="00E44A78" w:rsidRDefault="00E44A78">
      <w:pPr>
        <w:pStyle w:val="point"/>
      </w:pPr>
      <w:r>
        <w:lastRenderedPageBreak/>
        <w:t>15. Финал конкурса проводится среди семей – победителей первого этапа конкурса (по одной семье от каждой области и г. Минска) не позднее 14 октября.</w:t>
      </w:r>
    </w:p>
    <w:p w:rsidR="00E44A78" w:rsidRDefault="00E44A78">
      <w:pPr>
        <w:pStyle w:val="newncpi"/>
      </w:pPr>
      <w:r>
        <w:t>Для участия в финале конкурса оргкомитетом первого этапа конкурса в оргкомитет второго этапа конкурса до 1 августа представляются:</w:t>
      </w:r>
    </w:p>
    <w:p w:rsidR="00E44A78" w:rsidRDefault="00E44A78">
      <w:pPr>
        <w:pStyle w:val="newncpi"/>
      </w:pPr>
      <w:r>
        <w:t>подписанная председателем оргкомитета первого этапа конкурса заявка (с указанием фамилии, собственного имени, отчества (если таковое имеется), даты рождения и места жительства всех членов семьи, родственных отношений);</w:t>
      </w:r>
    </w:p>
    <w:p w:rsidR="00E44A78" w:rsidRDefault="00E44A78">
      <w:pPr>
        <w:pStyle w:val="newncpi"/>
      </w:pPr>
      <w:r>
        <w:t>копия информационной справки о семье;</w:t>
      </w:r>
    </w:p>
    <w:p w:rsidR="00E44A78" w:rsidRDefault="00E44A78">
      <w:pPr>
        <w:pStyle w:val="newncpi"/>
      </w:pPr>
      <w:r>
        <w:t>копия согласия;</w:t>
      </w:r>
    </w:p>
    <w:p w:rsidR="00E44A78" w:rsidRDefault="00E44A78">
      <w:pPr>
        <w:pStyle w:val="newncpi"/>
      </w:pPr>
      <w:r>
        <w:t>копия итогового протокола жюри первого этапа конкурса;</w:t>
      </w:r>
    </w:p>
    <w:p w:rsidR="00E44A78" w:rsidRDefault="00E44A78">
      <w:pPr>
        <w:pStyle w:val="newncpi"/>
      </w:pPr>
      <w:r>
        <w:t>фильм о семье (на электронном носителе до пяти минут).</w:t>
      </w:r>
    </w:p>
    <w:p w:rsidR="00E44A78" w:rsidRDefault="00E44A78">
      <w:pPr>
        <w:pStyle w:val="point"/>
      </w:pPr>
      <w:r>
        <w:t>16. В рамках конкурса выполняется конкурсное задание «Моя семья – моя страна» (до пятнадцати минут), предусматривающее:</w:t>
      </w:r>
    </w:p>
    <w:p w:rsidR="00E44A78" w:rsidRDefault="00E44A78">
      <w:pPr>
        <w:pStyle w:val="newncpi"/>
      </w:pPr>
      <w:r>
        <w:t>представление визитной карточки семьи «Родовод»;</w:t>
      </w:r>
    </w:p>
    <w:p w:rsidR="00E44A78" w:rsidRDefault="00E44A78">
      <w:pPr>
        <w:pStyle w:val="newncpi"/>
      </w:pPr>
      <w:r>
        <w:t>презентацию социально-значимого проекта, отражающего вклад семьи в жизнь региона.</w:t>
      </w:r>
    </w:p>
    <w:p w:rsidR="00E44A78" w:rsidRDefault="00E44A78">
      <w:pPr>
        <w:pStyle w:val="chapter"/>
      </w:pPr>
      <w:r>
        <w:t>ГЛАВА 3</w:t>
      </w:r>
      <w:r>
        <w:br/>
        <w:t>ЖЮРИ КОНКУРСА, ПОДВЕДЕНИЕ ИТОГОВ КОНКУРСА</w:t>
      </w:r>
    </w:p>
    <w:p w:rsidR="00E44A78" w:rsidRDefault="00E44A78">
      <w:pPr>
        <w:pStyle w:val="point"/>
      </w:pPr>
      <w:r>
        <w:t>17. Для оценки конкурсных заданий и определения победителей на каждом этапе конкурса создается жюри. Состав жюри формируется из числа представителей республиканских органов государственного управления, местных исполнительных и распорядительных органов, средств массовой информации, общественных объединений, иных организаций. Возглавляет жюри председатель.</w:t>
      </w:r>
    </w:p>
    <w:p w:rsidR="00E44A78" w:rsidRDefault="00E44A78">
      <w:pPr>
        <w:pStyle w:val="point"/>
      </w:pPr>
      <w:r>
        <w:t>18. Жюри каждого этапа конкурса:</w:t>
      </w:r>
    </w:p>
    <w:p w:rsidR="00E44A78" w:rsidRDefault="00E44A78">
      <w:pPr>
        <w:pStyle w:val="newncpi"/>
      </w:pPr>
      <w:r>
        <w:t>оценивает выступления участников конкурса в соответствии с утвержденными оргкомитетом соответствующего этапа критериями и показателями конкурсной оценки;</w:t>
      </w:r>
    </w:p>
    <w:p w:rsidR="00E44A78" w:rsidRDefault="00E44A78">
      <w:pPr>
        <w:pStyle w:val="newncpi"/>
      </w:pPr>
      <w:r>
        <w:t>определяет победителей соответствующего этапа конкурса на основании полученных баллов по конкурсному заданию;</w:t>
      </w:r>
    </w:p>
    <w:p w:rsidR="00E44A78" w:rsidRDefault="00E44A78">
      <w:pPr>
        <w:pStyle w:val="newncpi"/>
      </w:pPr>
      <w:r>
        <w:t>подводит итоги и информирует участников о результатах соответствующего этапа конкурса в день его проведения.</w:t>
      </w:r>
    </w:p>
    <w:p w:rsidR="00E44A78" w:rsidRDefault="00E44A78">
      <w:pPr>
        <w:pStyle w:val="point"/>
      </w:pPr>
      <w:r>
        <w:t>19. Решение жюри оформляется протоколом. Жюри правомочно принимать решение, если присутствует не менее двух третей утвержденного состава жюри. Решение жюри считается принятым, если за него проголосовало более половины членов жюри. При равенстве голосов определяющим считается голос председателя жюри.</w:t>
      </w:r>
    </w:p>
    <w:p w:rsidR="00E44A78" w:rsidRDefault="00E44A78">
      <w:pPr>
        <w:pStyle w:val="point"/>
      </w:pPr>
      <w:r>
        <w:t>20. Победителем каждого этапа конкурса признается семья, набравшая наибольшее общее количество баллов по итогам конкурсного задания.</w:t>
      </w:r>
    </w:p>
    <w:p w:rsidR="00E44A78" w:rsidRDefault="00E44A78">
      <w:pPr>
        <w:pStyle w:val="point"/>
      </w:pPr>
      <w:r>
        <w:t>21. Победителю первого этапа вручается диплом I степени.</w:t>
      </w:r>
    </w:p>
    <w:p w:rsidR="00E44A78" w:rsidRDefault="00E44A78">
      <w:pPr>
        <w:pStyle w:val="newncpi"/>
      </w:pPr>
      <w:r>
        <w:t>В соответствии с количеством набранных баллов из числа участников первого этапа конкурса определяются призеры, которым вручаются диплом II степени (один диплом), диплом III степени (один диплом).</w:t>
      </w:r>
    </w:p>
    <w:p w:rsidR="00E44A78" w:rsidRDefault="00E44A78">
      <w:pPr>
        <w:pStyle w:val="newncpi"/>
      </w:pPr>
      <w:r>
        <w:t>Стоимость призов к дипломам I, II и III степени устанавливается в следующих размерах (с округлением до целого числа по правилам математического округления):</w:t>
      </w:r>
    </w:p>
    <w:p w:rsidR="00E44A78" w:rsidRDefault="00E44A78">
      <w:pPr>
        <w:pStyle w:val="newncpi"/>
      </w:pPr>
      <w:r>
        <w:t>к диплому I степени – до 30 базовых величин;</w:t>
      </w:r>
    </w:p>
    <w:p w:rsidR="00E44A78" w:rsidRDefault="00E44A78">
      <w:pPr>
        <w:pStyle w:val="newncpi"/>
      </w:pPr>
      <w:r>
        <w:t>к диплому II степени – до 20 базовых величин;</w:t>
      </w:r>
    </w:p>
    <w:p w:rsidR="00E44A78" w:rsidRDefault="00E44A78">
      <w:pPr>
        <w:pStyle w:val="newncpi"/>
      </w:pPr>
      <w:r>
        <w:t>к диплому III степени – до 15 базовых величин.</w:t>
      </w:r>
    </w:p>
    <w:p w:rsidR="00E44A78" w:rsidRDefault="00E44A78">
      <w:pPr>
        <w:pStyle w:val="newncpi"/>
      </w:pPr>
      <w:r>
        <w:t>Призы выдаются в денежной и (или) натуральной форме.</w:t>
      </w:r>
    </w:p>
    <w:p w:rsidR="00E44A78" w:rsidRDefault="00E44A78">
      <w:pPr>
        <w:pStyle w:val="newncpi"/>
      </w:pPr>
      <w:r>
        <w:t>Организационным комитетом может быть принято решение о награждении иных участников поощрительными (памятными) дипломами, призами.</w:t>
      </w:r>
    </w:p>
    <w:p w:rsidR="00E44A78" w:rsidRDefault="00E44A78">
      <w:pPr>
        <w:pStyle w:val="newncpi"/>
      </w:pPr>
      <w:r>
        <w:t>Расходы на поощрение победителей и участников первого этапа конкурса осуществляются за счет средств местных бюджетов и иных источников, не запрещенных законодательством.</w:t>
      </w:r>
    </w:p>
    <w:p w:rsidR="00E44A78" w:rsidRDefault="00E44A78">
      <w:pPr>
        <w:pStyle w:val="newncpi"/>
      </w:pPr>
      <w:r>
        <w:lastRenderedPageBreak/>
        <w:t>Спонсоры и партнеры конкурса по согласованию с оргкомитетом имеют право учредить специальные призы для награждения победителей и участников первого этапа конкурса в денежной и (или) натуральной форме за счет источников, не запрещенных законодательством.</w:t>
      </w:r>
    </w:p>
    <w:p w:rsidR="00E44A78" w:rsidRDefault="00E44A78">
      <w:pPr>
        <w:pStyle w:val="point"/>
      </w:pPr>
      <w:r>
        <w:t>22. Победителю финала конкурса вручается диплом I степени.</w:t>
      </w:r>
    </w:p>
    <w:p w:rsidR="00E44A78" w:rsidRDefault="00E44A78">
      <w:pPr>
        <w:pStyle w:val="newncpi"/>
      </w:pPr>
      <w:r>
        <w:t>Участникам финала конкурса вручаются дипломы II степени (два диплома) и III степени (четыре диплома) в соответствии с количеством набранных баллов.</w:t>
      </w:r>
    </w:p>
    <w:p w:rsidR="00E44A78" w:rsidRDefault="00E44A78">
      <w:pPr>
        <w:pStyle w:val="newncpi"/>
      </w:pPr>
      <w:r>
        <w:t>Для победителя и участников финала конкурса устанавливаются призы в денежной форме в следующих размерах (с округлением до целого числа по правилам математического округления):</w:t>
      </w:r>
    </w:p>
    <w:p w:rsidR="00E44A78" w:rsidRDefault="00E44A78">
      <w:pPr>
        <w:pStyle w:val="newncpi"/>
      </w:pPr>
      <w:r>
        <w:t>к диплому I степени – до 75 базовых величин;</w:t>
      </w:r>
    </w:p>
    <w:p w:rsidR="00E44A78" w:rsidRDefault="00E44A78">
      <w:pPr>
        <w:pStyle w:val="newncpi"/>
      </w:pPr>
      <w:r>
        <w:t>к диплому II степени – до 35 базовых величин;</w:t>
      </w:r>
    </w:p>
    <w:p w:rsidR="00E44A78" w:rsidRDefault="00E44A78">
      <w:pPr>
        <w:pStyle w:val="newncpi"/>
      </w:pPr>
      <w:r>
        <w:t>к диплому III степени – до 20 базовых величин.</w:t>
      </w:r>
    </w:p>
    <w:p w:rsidR="00E44A78" w:rsidRDefault="00E44A78">
      <w:pPr>
        <w:pStyle w:val="newncpi"/>
      </w:pPr>
      <w:r>
        <w:t>Победитель и участники финала конкурса также могут быть отмечены специальными призами в натуральной форме.</w:t>
      </w:r>
    </w:p>
    <w:p w:rsidR="00E44A78" w:rsidRDefault="00E44A78">
      <w:pPr>
        <w:pStyle w:val="newncpi"/>
      </w:pPr>
      <w:r>
        <w:t>Расходы на поощрение победителя и участников финала конкурса в денежной и натуральной форме осуществляются за счет средств республиканского бюджета, предусмотренных Министерству труда и социальной защиты, и иных источников, не запрещенных законодательством.</w:t>
      </w:r>
    </w:p>
    <w:p w:rsidR="00E44A78" w:rsidRDefault="00E44A78">
      <w:pPr>
        <w:pStyle w:val="newncpi"/>
      </w:pPr>
      <w:r>
        <w:t>Спонсоры и партнеры финала конкурса по согласованию с оргкомитетом имеют право учредить специальные призы для награждения победителей и участников финала конкурса в денежном и (или) натуральном выражении за счет источников, не запрещенных законодательством.</w:t>
      </w:r>
    </w:p>
    <w:p w:rsidR="00E44A78" w:rsidRDefault="00E44A78">
      <w:pPr>
        <w:pStyle w:val="point"/>
      </w:pPr>
      <w:r>
        <w:t>23. Информация о победителях и участниках конкурса размещается в глобальной компьютерной сети Интернет на официальных сайтах:</w:t>
      </w:r>
    </w:p>
    <w:p w:rsidR="00E44A78" w:rsidRDefault="00E44A78">
      <w:pPr>
        <w:pStyle w:val="newncpi"/>
      </w:pPr>
      <w:r>
        <w:t>местных исполнительных и распорядительных органов – при проведении первого этапа конкурса;</w:t>
      </w:r>
    </w:p>
    <w:p w:rsidR="00E44A78" w:rsidRDefault="00E44A78">
      <w:pPr>
        <w:pStyle w:val="newncpi"/>
      </w:pPr>
      <w:r>
        <w:t>Министерства труда и социальной защиты – при проведении финала конкурса.</w:t>
      </w:r>
    </w:p>
    <w:p w:rsidR="00E44A78" w:rsidRDefault="00E44A78">
      <w:pPr>
        <w:pStyle w:val="point"/>
      </w:pPr>
      <w:r>
        <w:t>24. Финансирование расходов, связанных с организацией и проведением конкурса, осуществляется:</w:t>
      </w:r>
    </w:p>
    <w:p w:rsidR="00E44A78" w:rsidRDefault="00E44A78">
      <w:pPr>
        <w:pStyle w:val="newncpi"/>
      </w:pPr>
      <w:r>
        <w:t>на первом этапе – за счет предусмотренных на эти цели средств местных бюджетов и иных источников, не запрещенных законодательством;</w:t>
      </w:r>
    </w:p>
    <w:p w:rsidR="00E44A78" w:rsidRDefault="00E44A78">
      <w:pPr>
        <w:pStyle w:val="newncpi"/>
      </w:pPr>
      <w:r>
        <w:t>на втором этапе (финале) – за счет предусмотренных на эти цели средств республиканского бюджета, местных бюджетов (в части расходов на подготовку и обеспечение участия семей в финале конкурса), а также иных источников, не запрещенных законодательством.</w:t>
      </w:r>
    </w:p>
    <w:p w:rsidR="00E44A78" w:rsidRDefault="00E44A78">
      <w:pPr>
        <w:pStyle w:val="newncpi"/>
      </w:pPr>
      <w:r>
        <w:t> </w:t>
      </w:r>
    </w:p>
    <w:p w:rsidR="00E44A78" w:rsidRDefault="00E44A78">
      <w:pPr>
        <w:rPr>
          <w:rFonts w:eastAsia="Times New Roman"/>
        </w:rPr>
        <w:sectPr w:rsidR="00E44A78" w:rsidSect="00E44A7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E44A78" w:rsidRDefault="00E44A78">
      <w:pPr>
        <w:pStyle w:val="newncpi"/>
      </w:pPr>
      <w:r>
        <w:lastRenderedPageBreak/>
        <w:t> </w:t>
      </w:r>
    </w:p>
    <w:tbl>
      <w:tblPr>
        <w:tblW w:w="5000" w:type="pct"/>
        <w:tblCellMar>
          <w:left w:w="0" w:type="dxa"/>
          <w:right w:w="0" w:type="dxa"/>
        </w:tblCellMar>
        <w:tblLook w:val="04A0"/>
      </w:tblPr>
      <w:tblGrid>
        <w:gridCol w:w="6373"/>
        <w:gridCol w:w="3008"/>
      </w:tblGrid>
      <w:tr w:rsidR="00E44A78">
        <w:tc>
          <w:tcPr>
            <w:tcW w:w="3397" w:type="pct"/>
            <w:tcMar>
              <w:top w:w="0" w:type="dxa"/>
              <w:left w:w="6" w:type="dxa"/>
              <w:bottom w:w="0" w:type="dxa"/>
              <w:right w:w="6" w:type="dxa"/>
            </w:tcMar>
            <w:hideMark/>
          </w:tcPr>
          <w:p w:rsidR="00E44A78" w:rsidRDefault="00E44A78">
            <w:pPr>
              <w:pStyle w:val="newncpi"/>
            </w:pPr>
            <w:r>
              <w:t> </w:t>
            </w:r>
          </w:p>
        </w:tc>
        <w:tc>
          <w:tcPr>
            <w:tcW w:w="1603" w:type="pct"/>
            <w:tcMar>
              <w:top w:w="0" w:type="dxa"/>
              <w:left w:w="6" w:type="dxa"/>
              <w:bottom w:w="0" w:type="dxa"/>
              <w:right w:w="6" w:type="dxa"/>
            </w:tcMar>
            <w:hideMark/>
          </w:tcPr>
          <w:p w:rsidR="00E44A78" w:rsidRDefault="00E44A78">
            <w:pPr>
              <w:pStyle w:val="append1"/>
            </w:pPr>
            <w:r>
              <w:t>Приложение</w:t>
            </w:r>
          </w:p>
          <w:p w:rsidR="00E44A78" w:rsidRDefault="00E44A78">
            <w:pPr>
              <w:pStyle w:val="append"/>
            </w:pPr>
            <w:r>
              <w:t xml:space="preserve">к Инструкции о порядке </w:t>
            </w:r>
            <w:r>
              <w:br/>
              <w:t xml:space="preserve">проведения республиканского </w:t>
            </w:r>
            <w:r>
              <w:br/>
              <w:t xml:space="preserve">конкурса «Семья года» </w:t>
            </w:r>
          </w:p>
        </w:tc>
      </w:tr>
    </w:tbl>
    <w:p w:rsidR="00E44A78" w:rsidRDefault="00E44A78">
      <w:pPr>
        <w:pStyle w:val="newncpi"/>
      </w:pPr>
      <w:r>
        <w:t> </w:t>
      </w:r>
    </w:p>
    <w:p w:rsidR="00E44A78" w:rsidRDefault="00E44A78">
      <w:pPr>
        <w:pStyle w:val="onestring"/>
      </w:pPr>
      <w:r>
        <w:t>Форма</w:t>
      </w:r>
    </w:p>
    <w:p w:rsidR="00E44A78" w:rsidRDefault="00E44A78">
      <w:pPr>
        <w:pStyle w:val="titlep"/>
      </w:pPr>
      <w:r>
        <w:t>СОГЛАСИЕ</w:t>
      </w:r>
      <w:r>
        <w:br/>
        <w:t>на обработку персональных данных</w:t>
      </w:r>
    </w:p>
    <w:p w:rsidR="00E44A78" w:rsidRDefault="00E44A78">
      <w:pPr>
        <w:pStyle w:val="newncpi0"/>
      </w:pPr>
      <w:r>
        <w:t>Я, __________________________________________________________________________</w:t>
      </w:r>
    </w:p>
    <w:p w:rsidR="00E44A78" w:rsidRDefault="00E44A78">
      <w:pPr>
        <w:pStyle w:val="undline"/>
        <w:ind w:left="266"/>
        <w:jc w:val="center"/>
      </w:pPr>
      <w:r>
        <w:t>(фамилия, собственное имя, отчество (если таковое имеется)</w:t>
      </w:r>
    </w:p>
    <w:p w:rsidR="00E44A78" w:rsidRDefault="00E44A78">
      <w:pPr>
        <w:pStyle w:val="newncpi0"/>
      </w:pPr>
      <w:r>
        <w:t>____._____.________ года рождения,</w:t>
      </w:r>
    </w:p>
    <w:p w:rsidR="00E44A78" w:rsidRDefault="00E44A78">
      <w:pPr>
        <w:pStyle w:val="newncpi0"/>
      </w:pPr>
      <w:r>
        <w:t xml:space="preserve">Место жительства (место пребывания): </w:t>
      </w:r>
    </w:p>
    <w:p w:rsidR="00E44A78" w:rsidRDefault="00E44A78">
      <w:pPr>
        <w:pStyle w:val="newncpi0"/>
      </w:pPr>
      <w:r>
        <w:t>_____________________________________________________________________________</w:t>
      </w:r>
    </w:p>
    <w:p w:rsidR="00E44A78" w:rsidRDefault="00E44A78">
      <w:pPr>
        <w:pStyle w:val="newncpi0"/>
      </w:pPr>
      <w:r>
        <w:t>Документ, удостоверяющий личность: ___________________________________________</w:t>
      </w:r>
    </w:p>
    <w:p w:rsidR="00E44A78" w:rsidRDefault="00E44A78">
      <w:pPr>
        <w:pStyle w:val="newncpi0"/>
      </w:pPr>
      <w:r>
        <w:t>серия (при наличии) ____ номер ________,</w:t>
      </w:r>
    </w:p>
    <w:p w:rsidR="00E44A78" w:rsidRDefault="00E44A78">
      <w:pPr>
        <w:pStyle w:val="newncpi0"/>
      </w:pPr>
      <w:r>
        <w:t>идентификационный номер (при наличии) ________________________________________</w:t>
      </w:r>
    </w:p>
    <w:p w:rsidR="00E44A78" w:rsidRDefault="00E44A78">
      <w:pPr>
        <w:pStyle w:val="newncpi0"/>
      </w:pPr>
      <w:r>
        <w:t>дата выдачи ___.____._______</w:t>
      </w:r>
    </w:p>
    <w:p w:rsidR="00E44A78" w:rsidRDefault="00E44A78">
      <w:pPr>
        <w:pStyle w:val="newncpi0"/>
      </w:pPr>
      <w:r>
        <w:t>наименование (код) государственного органа, его выдавшего ________________________</w:t>
      </w:r>
    </w:p>
    <w:p w:rsidR="00E44A78" w:rsidRDefault="00E44A78">
      <w:pPr>
        <w:pStyle w:val="newncpi0"/>
      </w:pPr>
      <w:r>
        <w:t>Контактный номер телефона: +375 (____) ______________</w:t>
      </w:r>
    </w:p>
    <w:p w:rsidR="00E44A78" w:rsidRDefault="00E44A78">
      <w:pPr>
        <w:pStyle w:val="newncpi"/>
      </w:pPr>
      <w:r>
        <w:t> </w:t>
      </w:r>
    </w:p>
    <w:p w:rsidR="00E44A78" w:rsidRDefault="00E44A78">
      <w:pPr>
        <w:pStyle w:val="newncpi"/>
      </w:pPr>
      <w:r>
        <w:t>Выражаю согласие на обработку персональных данных, которые указываются в заявке и информационной справке о семье для участия в республиканском конкурсе «Семья года», в отношении себя лично, моих несовершеннолетних детей (при наличии таковых указываются фамилия, собственное имя, отчество (если таковое имеется) каждого ребенка):</w:t>
      </w:r>
    </w:p>
    <w:p w:rsidR="00E44A78" w:rsidRDefault="00E44A78">
      <w:pPr>
        <w:pStyle w:val="newncpi0"/>
      </w:pPr>
      <w:r>
        <w:t>_____________________________________________________________________________</w:t>
      </w:r>
    </w:p>
    <w:p w:rsidR="00E44A78" w:rsidRDefault="00E44A78">
      <w:pPr>
        <w:pStyle w:val="newncpi0"/>
      </w:pPr>
      <w:r>
        <w:t>_____________________________________________________________________________</w:t>
      </w:r>
    </w:p>
    <w:p w:rsidR="00E44A78" w:rsidRDefault="00E44A78">
      <w:pPr>
        <w:pStyle w:val="newncpi0"/>
      </w:pPr>
      <w:r>
        <w:t>_____________________________________________________________________________</w:t>
      </w:r>
    </w:p>
    <w:p w:rsidR="00E44A78" w:rsidRDefault="00E44A78">
      <w:pPr>
        <w:pStyle w:val="newncpi0"/>
      </w:pPr>
      <w:r>
        <w:t>_____________________________________________________________________________</w:t>
      </w:r>
    </w:p>
    <w:p w:rsidR="00E44A78" w:rsidRDefault="00E44A78">
      <w:pPr>
        <w:pStyle w:val="newncpi"/>
      </w:pPr>
      <w:r>
        <w:t>Цель обработки: участие в республиканском конкурсе «Семья года», проведение информационных кампаний в рамках конкурса.</w:t>
      </w:r>
    </w:p>
    <w:p w:rsidR="00E44A78" w:rsidRDefault="00E44A78">
      <w:pPr>
        <w:pStyle w:val="newncpi"/>
      </w:pPr>
      <w:r>
        <w:t>В указанных целях я даю согласие на осуществление следующих действий с моими персональными данными: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E44A78" w:rsidRDefault="00E44A78">
      <w:pPr>
        <w:pStyle w:val="newncpi"/>
      </w:pPr>
      <w:r>
        <w:t>Обработка персональных данных может осуществляться как автоматизированным, так и неавтоматизированным способом.</w:t>
      </w:r>
    </w:p>
    <w:p w:rsidR="00E44A78" w:rsidRDefault="00E44A78">
      <w:pPr>
        <w:pStyle w:val="newncpi"/>
      </w:pPr>
      <w:r>
        <w:t>Мне разъяснены права, связанные с обработкой персональных данных, механизм реализации таких прав, а также последствия дачи мною согласия или отказа в даче такого согласия.</w:t>
      </w:r>
    </w:p>
    <w:p w:rsidR="00E44A78" w:rsidRDefault="00E44A78">
      <w:pPr>
        <w:pStyle w:val="newncpi"/>
      </w:pPr>
      <w:r>
        <w:t>Я ознакомлен(а) с тем, что:</w:t>
      </w:r>
    </w:p>
    <w:p w:rsidR="00E44A78" w:rsidRDefault="00E44A78">
      <w:pPr>
        <w:pStyle w:val="newncpi"/>
      </w:pPr>
      <w:r>
        <w:t>согласие на обработку персональных данных действует бессрочно с даты его подписания;</w:t>
      </w:r>
    </w:p>
    <w:p w:rsidR="00E44A78" w:rsidRDefault="00E44A78">
      <w:pPr>
        <w:pStyle w:val="newncpi"/>
      </w:pPr>
      <w:r>
        <w:t>согласие на обработку персональных данных может быть отозвано в соответствии со статьей 14 Закона Республики Беларусь от 7 мая 2021 г. № 99-З «О защите персональных данных».</w:t>
      </w:r>
    </w:p>
    <w:p w:rsidR="00E44A78" w:rsidRDefault="00E44A78">
      <w:pPr>
        <w:pStyle w:val="newncpi"/>
      </w:pPr>
      <w:r>
        <w:t> </w:t>
      </w:r>
    </w:p>
    <w:tbl>
      <w:tblPr>
        <w:tblW w:w="5000" w:type="pct"/>
        <w:tblCellMar>
          <w:left w:w="0" w:type="dxa"/>
          <w:right w:w="0" w:type="dxa"/>
        </w:tblCellMar>
        <w:tblLook w:val="04A0"/>
      </w:tblPr>
      <w:tblGrid>
        <w:gridCol w:w="2594"/>
        <w:gridCol w:w="2375"/>
        <w:gridCol w:w="570"/>
        <w:gridCol w:w="3842"/>
      </w:tblGrid>
      <w:tr w:rsidR="00E44A78">
        <w:trPr>
          <w:trHeight w:val="240"/>
        </w:trPr>
        <w:tc>
          <w:tcPr>
            <w:tcW w:w="1382" w:type="pct"/>
            <w:tcMar>
              <w:top w:w="0" w:type="dxa"/>
              <w:left w:w="6" w:type="dxa"/>
              <w:bottom w:w="0" w:type="dxa"/>
              <w:right w:w="6" w:type="dxa"/>
            </w:tcMar>
            <w:hideMark/>
          </w:tcPr>
          <w:p w:rsidR="00E44A78" w:rsidRDefault="00E44A78">
            <w:pPr>
              <w:pStyle w:val="newncpi0"/>
            </w:pPr>
            <w:r>
              <w:t>__.__.20__</w:t>
            </w:r>
          </w:p>
        </w:tc>
        <w:tc>
          <w:tcPr>
            <w:tcW w:w="1266" w:type="pct"/>
            <w:tcBorders>
              <w:bottom w:val="single" w:sz="4" w:space="0" w:color="auto"/>
            </w:tcBorders>
            <w:tcMar>
              <w:top w:w="0" w:type="dxa"/>
              <w:left w:w="6" w:type="dxa"/>
              <w:bottom w:w="0" w:type="dxa"/>
              <w:right w:w="6" w:type="dxa"/>
            </w:tcMar>
            <w:hideMark/>
          </w:tcPr>
          <w:p w:rsidR="00E44A78" w:rsidRDefault="00E44A78">
            <w:pPr>
              <w:pStyle w:val="newncpi0"/>
            </w:pPr>
            <w:r>
              <w:t> </w:t>
            </w:r>
          </w:p>
        </w:tc>
        <w:tc>
          <w:tcPr>
            <w:tcW w:w="304" w:type="pct"/>
            <w:tcMar>
              <w:top w:w="0" w:type="dxa"/>
              <w:left w:w="6" w:type="dxa"/>
              <w:bottom w:w="0" w:type="dxa"/>
              <w:right w:w="6" w:type="dxa"/>
            </w:tcMar>
            <w:hideMark/>
          </w:tcPr>
          <w:p w:rsidR="00E44A78" w:rsidRDefault="00E44A78">
            <w:pPr>
              <w:pStyle w:val="table10"/>
            </w:pPr>
            <w:r>
              <w:t> </w:t>
            </w:r>
          </w:p>
        </w:tc>
        <w:tc>
          <w:tcPr>
            <w:tcW w:w="2048" w:type="pct"/>
            <w:tcBorders>
              <w:bottom w:val="single" w:sz="4" w:space="0" w:color="auto"/>
            </w:tcBorders>
            <w:tcMar>
              <w:top w:w="0" w:type="dxa"/>
              <w:left w:w="6" w:type="dxa"/>
              <w:bottom w:w="0" w:type="dxa"/>
              <w:right w:w="6" w:type="dxa"/>
            </w:tcMar>
            <w:hideMark/>
          </w:tcPr>
          <w:p w:rsidR="00E44A78" w:rsidRDefault="00E44A78">
            <w:pPr>
              <w:pStyle w:val="newncpi0"/>
            </w:pPr>
            <w:r>
              <w:t> </w:t>
            </w:r>
          </w:p>
        </w:tc>
      </w:tr>
      <w:tr w:rsidR="00E44A78">
        <w:trPr>
          <w:trHeight w:val="240"/>
        </w:trPr>
        <w:tc>
          <w:tcPr>
            <w:tcW w:w="1382" w:type="pct"/>
            <w:tcMar>
              <w:top w:w="0" w:type="dxa"/>
              <w:left w:w="6" w:type="dxa"/>
              <w:bottom w:w="0" w:type="dxa"/>
              <w:right w:w="6" w:type="dxa"/>
            </w:tcMar>
            <w:hideMark/>
          </w:tcPr>
          <w:p w:rsidR="00E44A78" w:rsidRDefault="00E44A78">
            <w:pPr>
              <w:pStyle w:val="table10"/>
            </w:pPr>
            <w:r>
              <w:t> </w:t>
            </w:r>
          </w:p>
        </w:tc>
        <w:tc>
          <w:tcPr>
            <w:tcW w:w="1266" w:type="pct"/>
            <w:tcBorders>
              <w:top w:val="single" w:sz="4" w:space="0" w:color="auto"/>
            </w:tcBorders>
            <w:tcMar>
              <w:top w:w="0" w:type="dxa"/>
              <w:left w:w="6" w:type="dxa"/>
              <w:bottom w:w="0" w:type="dxa"/>
              <w:right w:w="6" w:type="dxa"/>
            </w:tcMar>
            <w:hideMark/>
          </w:tcPr>
          <w:p w:rsidR="00E44A78" w:rsidRDefault="00E44A78">
            <w:pPr>
              <w:pStyle w:val="undline"/>
              <w:jc w:val="center"/>
            </w:pPr>
            <w:r>
              <w:t>(подпись)</w:t>
            </w:r>
          </w:p>
        </w:tc>
        <w:tc>
          <w:tcPr>
            <w:tcW w:w="304" w:type="pct"/>
            <w:tcMar>
              <w:top w:w="0" w:type="dxa"/>
              <w:left w:w="6" w:type="dxa"/>
              <w:bottom w:w="0" w:type="dxa"/>
              <w:right w:w="6" w:type="dxa"/>
            </w:tcMar>
            <w:hideMark/>
          </w:tcPr>
          <w:p w:rsidR="00E44A78" w:rsidRDefault="00E44A78">
            <w:pPr>
              <w:pStyle w:val="table10"/>
              <w:jc w:val="center"/>
            </w:pPr>
            <w:r>
              <w:t> </w:t>
            </w:r>
          </w:p>
        </w:tc>
        <w:tc>
          <w:tcPr>
            <w:tcW w:w="2048" w:type="pct"/>
            <w:tcBorders>
              <w:top w:val="single" w:sz="4" w:space="0" w:color="auto"/>
            </w:tcBorders>
            <w:tcMar>
              <w:top w:w="0" w:type="dxa"/>
              <w:left w:w="6" w:type="dxa"/>
              <w:bottom w:w="0" w:type="dxa"/>
              <w:right w:w="6" w:type="dxa"/>
            </w:tcMar>
            <w:hideMark/>
          </w:tcPr>
          <w:p w:rsidR="00E44A78" w:rsidRDefault="00E44A78">
            <w:pPr>
              <w:pStyle w:val="undline"/>
              <w:jc w:val="center"/>
            </w:pPr>
            <w:r>
              <w:t>(расшифровка подписи)</w:t>
            </w:r>
          </w:p>
        </w:tc>
      </w:tr>
    </w:tbl>
    <w:p w:rsidR="00E44A78" w:rsidRDefault="00E44A78">
      <w:pPr>
        <w:pStyle w:val="newncpi"/>
      </w:pPr>
      <w:r>
        <w:t> </w:t>
      </w:r>
    </w:p>
    <w:p w:rsidR="00E44A78" w:rsidRDefault="00E44A78">
      <w:pPr>
        <w:pStyle w:val="newncpi"/>
      </w:pPr>
      <w:r>
        <w:t> </w:t>
      </w:r>
    </w:p>
    <w:p w:rsidR="00E5378A" w:rsidRDefault="00E5378A"/>
    <w:sectPr w:rsidR="00E5378A" w:rsidSect="00E44A78">
      <w:pgSz w:w="11920"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178" w:rsidRDefault="00791178" w:rsidP="00E44A78">
      <w:r>
        <w:separator/>
      </w:r>
    </w:p>
  </w:endnote>
  <w:endnote w:type="continuationSeparator" w:id="1">
    <w:p w:rsidR="00791178" w:rsidRDefault="00791178" w:rsidP="00E44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78" w:rsidRDefault="00E44A7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78" w:rsidRDefault="00E44A7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E44A78" w:rsidTr="00E44A78">
      <w:tc>
        <w:tcPr>
          <w:tcW w:w="1800" w:type="dxa"/>
          <w:shd w:val="clear" w:color="auto" w:fill="auto"/>
          <w:vAlign w:val="center"/>
        </w:tcPr>
        <w:p w:rsidR="00E44A78" w:rsidRDefault="00E44A78">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44A78" w:rsidRDefault="00E44A7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44A78" w:rsidRDefault="00E44A7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15.04.2022</w:t>
          </w:r>
        </w:p>
        <w:p w:rsidR="00E44A78" w:rsidRPr="00E44A78" w:rsidRDefault="00E44A7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44A78" w:rsidRDefault="00E44A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178" w:rsidRDefault="00791178" w:rsidP="00E44A78">
      <w:r>
        <w:separator/>
      </w:r>
    </w:p>
  </w:footnote>
  <w:footnote w:type="continuationSeparator" w:id="1">
    <w:p w:rsidR="00791178" w:rsidRDefault="00791178" w:rsidP="00E44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78" w:rsidRDefault="00E44A78" w:rsidP="0075594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44A78" w:rsidRDefault="00E44A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78" w:rsidRPr="00E44A78" w:rsidRDefault="00E44A78" w:rsidP="00755948">
    <w:pPr>
      <w:pStyle w:val="a3"/>
      <w:framePr w:wrap="around" w:vAnchor="text" w:hAnchor="margin" w:xAlign="center" w:y="1"/>
      <w:rPr>
        <w:rStyle w:val="a7"/>
        <w:rFonts w:ascii="Times New Roman" w:hAnsi="Times New Roman" w:cs="Times New Roman"/>
        <w:sz w:val="24"/>
      </w:rPr>
    </w:pPr>
    <w:r w:rsidRPr="00E44A78">
      <w:rPr>
        <w:rStyle w:val="a7"/>
        <w:rFonts w:ascii="Times New Roman" w:hAnsi="Times New Roman" w:cs="Times New Roman"/>
        <w:sz w:val="24"/>
      </w:rPr>
      <w:fldChar w:fldCharType="begin"/>
    </w:r>
    <w:r w:rsidRPr="00E44A78">
      <w:rPr>
        <w:rStyle w:val="a7"/>
        <w:rFonts w:ascii="Times New Roman" w:hAnsi="Times New Roman" w:cs="Times New Roman"/>
        <w:sz w:val="24"/>
      </w:rPr>
      <w:instrText xml:space="preserve">PAGE  </w:instrText>
    </w:r>
    <w:r w:rsidRPr="00E44A78">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E44A78">
      <w:rPr>
        <w:rStyle w:val="a7"/>
        <w:rFonts w:ascii="Times New Roman" w:hAnsi="Times New Roman" w:cs="Times New Roman"/>
        <w:sz w:val="24"/>
      </w:rPr>
      <w:fldChar w:fldCharType="end"/>
    </w:r>
  </w:p>
  <w:p w:rsidR="00E44A78" w:rsidRPr="00E44A78" w:rsidRDefault="00E44A7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78" w:rsidRDefault="00E44A7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4A78"/>
    <w:rsid w:val="00791178"/>
    <w:rsid w:val="008E6814"/>
    <w:rsid w:val="009A2256"/>
    <w:rsid w:val="00CF0059"/>
    <w:rsid w:val="00E41761"/>
    <w:rsid w:val="00E44A78"/>
    <w:rsid w:val="00E53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44A78"/>
    <w:pPr>
      <w:spacing w:before="240" w:after="240"/>
      <w:ind w:right="2268"/>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E44A78"/>
    <w:pPr>
      <w:spacing w:before="240" w:after="240"/>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E44A78"/>
    <w:pPr>
      <w:spacing w:after="28"/>
      <w:jc w:val="left"/>
    </w:pPr>
    <w:rPr>
      <w:rFonts w:ascii="Times New Roman" w:eastAsiaTheme="minorEastAsia" w:hAnsi="Times New Roman" w:cs="Times New Roman"/>
      <w:lang w:eastAsia="ru-RU"/>
    </w:rPr>
  </w:style>
  <w:style w:type="paragraph" w:customStyle="1" w:styleId="titlep">
    <w:name w:val="titlep"/>
    <w:basedOn w:val="a"/>
    <w:rsid w:val="00E44A78"/>
    <w:pPr>
      <w:spacing w:before="240" w:after="24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44A78"/>
    <w:pPr>
      <w:jc w:val="right"/>
    </w:pPr>
    <w:rPr>
      <w:rFonts w:ascii="Times New Roman" w:eastAsiaTheme="minorEastAsia" w:hAnsi="Times New Roman" w:cs="Times New Roman"/>
      <w:lang w:eastAsia="ru-RU"/>
    </w:rPr>
  </w:style>
  <w:style w:type="paragraph" w:customStyle="1" w:styleId="titleu">
    <w:name w:val="titleu"/>
    <w:basedOn w:val="a"/>
    <w:rsid w:val="00E44A78"/>
    <w:pPr>
      <w:spacing w:before="240" w:after="24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E44A78"/>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E44A78"/>
    <w:pPr>
      <w:ind w:firstLine="567"/>
    </w:pPr>
    <w:rPr>
      <w:rFonts w:ascii="Times New Roman" w:eastAsiaTheme="minorEastAsia" w:hAnsi="Times New Roman" w:cs="Times New Roman"/>
      <w:sz w:val="24"/>
      <w:szCs w:val="24"/>
      <w:lang w:eastAsia="ru-RU"/>
    </w:rPr>
  </w:style>
  <w:style w:type="paragraph" w:customStyle="1" w:styleId="table10">
    <w:name w:val="table10"/>
    <w:basedOn w:val="a"/>
    <w:rsid w:val="00E44A78"/>
    <w:pPr>
      <w:jc w:val="left"/>
    </w:pPr>
    <w:rPr>
      <w:rFonts w:ascii="Times New Roman" w:eastAsiaTheme="minorEastAsia" w:hAnsi="Times New Roman" w:cs="Times New Roman"/>
      <w:sz w:val="20"/>
      <w:szCs w:val="20"/>
      <w:lang w:eastAsia="ru-RU"/>
    </w:rPr>
  </w:style>
  <w:style w:type="paragraph" w:customStyle="1" w:styleId="append">
    <w:name w:val="append"/>
    <w:basedOn w:val="a"/>
    <w:rsid w:val="00E44A78"/>
    <w:pPr>
      <w:jc w:val="left"/>
    </w:pPr>
    <w:rPr>
      <w:rFonts w:ascii="Times New Roman" w:eastAsiaTheme="minorEastAsia" w:hAnsi="Times New Roman" w:cs="Times New Roman"/>
      <w:lang w:eastAsia="ru-RU"/>
    </w:rPr>
  </w:style>
  <w:style w:type="paragraph" w:customStyle="1" w:styleId="append1">
    <w:name w:val="append1"/>
    <w:basedOn w:val="a"/>
    <w:rsid w:val="00E44A78"/>
    <w:pPr>
      <w:spacing w:after="28"/>
      <w:jc w:val="left"/>
    </w:pPr>
    <w:rPr>
      <w:rFonts w:ascii="Times New Roman" w:eastAsiaTheme="minorEastAsia" w:hAnsi="Times New Roman" w:cs="Times New Roman"/>
      <w:lang w:eastAsia="ru-RU"/>
    </w:rPr>
  </w:style>
  <w:style w:type="paragraph" w:customStyle="1" w:styleId="cap1">
    <w:name w:val="cap1"/>
    <w:basedOn w:val="a"/>
    <w:rsid w:val="00E44A78"/>
    <w:pPr>
      <w:jc w:val="left"/>
    </w:pPr>
    <w:rPr>
      <w:rFonts w:ascii="Times New Roman" w:eastAsiaTheme="minorEastAsia" w:hAnsi="Times New Roman" w:cs="Times New Roman"/>
      <w:lang w:eastAsia="ru-RU"/>
    </w:rPr>
  </w:style>
  <w:style w:type="paragraph" w:customStyle="1" w:styleId="capu1">
    <w:name w:val="capu1"/>
    <w:basedOn w:val="a"/>
    <w:rsid w:val="00E44A78"/>
    <w:pPr>
      <w:spacing w:after="120"/>
      <w:jc w:val="left"/>
    </w:pPr>
    <w:rPr>
      <w:rFonts w:ascii="Times New Roman" w:eastAsiaTheme="minorEastAsia" w:hAnsi="Times New Roman" w:cs="Times New Roman"/>
      <w:lang w:eastAsia="ru-RU"/>
    </w:rPr>
  </w:style>
  <w:style w:type="paragraph" w:customStyle="1" w:styleId="newncpi">
    <w:name w:val="newncpi"/>
    <w:basedOn w:val="a"/>
    <w:rsid w:val="00E44A78"/>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E44A78"/>
    <w:rPr>
      <w:rFonts w:ascii="Times New Roman" w:eastAsiaTheme="minorEastAsia" w:hAnsi="Times New Roman" w:cs="Times New Roman"/>
      <w:sz w:val="24"/>
      <w:szCs w:val="24"/>
      <w:lang w:eastAsia="ru-RU"/>
    </w:rPr>
  </w:style>
  <w:style w:type="paragraph" w:customStyle="1" w:styleId="undline">
    <w:name w:val="undline"/>
    <w:basedOn w:val="a"/>
    <w:rsid w:val="00E44A78"/>
    <w:rPr>
      <w:rFonts w:ascii="Times New Roman" w:eastAsiaTheme="minorEastAsia" w:hAnsi="Times New Roman" w:cs="Times New Roman"/>
      <w:sz w:val="20"/>
      <w:szCs w:val="20"/>
      <w:lang w:eastAsia="ru-RU"/>
    </w:rPr>
  </w:style>
  <w:style w:type="character" w:customStyle="1" w:styleId="name">
    <w:name w:val="name"/>
    <w:basedOn w:val="a0"/>
    <w:rsid w:val="00E44A78"/>
    <w:rPr>
      <w:rFonts w:ascii="Times New Roman" w:hAnsi="Times New Roman" w:cs="Times New Roman" w:hint="default"/>
      <w:caps/>
    </w:rPr>
  </w:style>
  <w:style w:type="character" w:customStyle="1" w:styleId="promulgator">
    <w:name w:val="promulgator"/>
    <w:basedOn w:val="a0"/>
    <w:rsid w:val="00E44A78"/>
    <w:rPr>
      <w:rFonts w:ascii="Times New Roman" w:hAnsi="Times New Roman" w:cs="Times New Roman" w:hint="default"/>
      <w:caps/>
    </w:rPr>
  </w:style>
  <w:style w:type="character" w:customStyle="1" w:styleId="datepr">
    <w:name w:val="datepr"/>
    <w:basedOn w:val="a0"/>
    <w:rsid w:val="00E44A78"/>
    <w:rPr>
      <w:rFonts w:ascii="Times New Roman" w:hAnsi="Times New Roman" w:cs="Times New Roman" w:hint="default"/>
    </w:rPr>
  </w:style>
  <w:style w:type="character" w:customStyle="1" w:styleId="number">
    <w:name w:val="number"/>
    <w:basedOn w:val="a0"/>
    <w:rsid w:val="00E44A78"/>
    <w:rPr>
      <w:rFonts w:ascii="Times New Roman" w:hAnsi="Times New Roman" w:cs="Times New Roman" w:hint="default"/>
    </w:rPr>
  </w:style>
  <w:style w:type="character" w:customStyle="1" w:styleId="post">
    <w:name w:val="post"/>
    <w:basedOn w:val="a0"/>
    <w:rsid w:val="00E44A78"/>
    <w:rPr>
      <w:rFonts w:ascii="Times New Roman" w:hAnsi="Times New Roman" w:cs="Times New Roman" w:hint="default"/>
      <w:b/>
      <w:bCs/>
      <w:sz w:val="22"/>
      <w:szCs w:val="22"/>
    </w:rPr>
  </w:style>
  <w:style w:type="character" w:customStyle="1" w:styleId="pers">
    <w:name w:val="pers"/>
    <w:basedOn w:val="a0"/>
    <w:rsid w:val="00E44A78"/>
    <w:rPr>
      <w:rFonts w:ascii="Times New Roman" w:hAnsi="Times New Roman" w:cs="Times New Roman" w:hint="default"/>
      <w:b/>
      <w:bCs/>
      <w:sz w:val="22"/>
      <w:szCs w:val="22"/>
    </w:rPr>
  </w:style>
  <w:style w:type="paragraph" w:styleId="a3">
    <w:name w:val="header"/>
    <w:basedOn w:val="a"/>
    <w:link w:val="a4"/>
    <w:uiPriority w:val="99"/>
    <w:semiHidden/>
    <w:unhideWhenUsed/>
    <w:rsid w:val="00E44A78"/>
    <w:pPr>
      <w:tabs>
        <w:tab w:val="center" w:pos="4677"/>
        <w:tab w:val="right" w:pos="9355"/>
      </w:tabs>
    </w:pPr>
  </w:style>
  <w:style w:type="character" w:customStyle="1" w:styleId="a4">
    <w:name w:val="Верхний колонтитул Знак"/>
    <w:basedOn w:val="a0"/>
    <w:link w:val="a3"/>
    <w:uiPriority w:val="99"/>
    <w:semiHidden/>
    <w:rsid w:val="00E44A78"/>
  </w:style>
  <w:style w:type="paragraph" w:styleId="a5">
    <w:name w:val="footer"/>
    <w:basedOn w:val="a"/>
    <w:link w:val="a6"/>
    <w:uiPriority w:val="99"/>
    <w:semiHidden/>
    <w:unhideWhenUsed/>
    <w:rsid w:val="00E44A78"/>
    <w:pPr>
      <w:tabs>
        <w:tab w:val="center" w:pos="4677"/>
        <w:tab w:val="right" w:pos="9355"/>
      </w:tabs>
    </w:pPr>
  </w:style>
  <w:style w:type="character" w:customStyle="1" w:styleId="a6">
    <w:name w:val="Нижний колонтитул Знак"/>
    <w:basedOn w:val="a0"/>
    <w:link w:val="a5"/>
    <w:uiPriority w:val="99"/>
    <w:semiHidden/>
    <w:rsid w:val="00E44A78"/>
  </w:style>
  <w:style w:type="character" w:styleId="a7">
    <w:name w:val="page number"/>
    <w:basedOn w:val="a0"/>
    <w:uiPriority w:val="99"/>
    <w:semiHidden/>
    <w:unhideWhenUsed/>
    <w:rsid w:val="00E44A78"/>
  </w:style>
  <w:style w:type="table" w:styleId="a8">
    <w:name w:val="Table Grid"/>
    <w:basedOn w:val="a1"/>
    <w:uiPriority w:val="59"/>
    <w:rsid w:val="00E44A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E44A78"/>
    <w:rPr>
      <w:rFonts w:ascii="Tahoma" w:hAnsi="Tahoma" w:cs="Tahoma"/>
      <w:sz w:val="16"/>
      <w:szCs w:val="16"/>
    </w:rPr>
  </w:style>
  <w:style w:type="character" w:customStyle="1" w:styleId="aa">
    <w:name w:val="Текст выноски Знак"/>
    <w:basedOn w:val="a0"/>
    <w:link w:val="a9"/>
    <w:uiPriority w:val="99"/>
    <w:semiHidden/>
    <w:rsid w:val="00E44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13114</Characters>
  <Application>Microsoft Office Word</Application>
  <DocSecurity>0</DocSecurity>
  <Lines>312</Lines>
  <Paragraphs>160</Paragraphs>
  <ScaleCrop>false</ScaleCrop>
  <Company/>
  <LinksUpToDate>false</LinksUpToDate>
  <CharactersWithSpaces>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Shumi-RU-0083</dc:creator>
  <cp:lastModifiedBy>Shumi-RU-0083</cp:lastModifiedBy>
  <cp:revision>1</cp:revision>
  <dcterms:created xsi:type="dcterms:W3CDTF">2022-04-15T08:08:00Z</dcterms:created>
  <dcterms:modified xsi:type="dcterms:W3CDTF">2022-04-15T08:08:00Z</dcterms:modified>
</cp:coreProperties>
</file>