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9C" w:rsidRDefault="00F84E9C"/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2</w:t>
      </w:r>
      <w:r>
        <w:rPr>
          <w:sz w:val="26"/>
          <w:szCs w:val="26"/>
          <w:lang w:val="be-BY"/>
        </w:rPr>
        <w:t>2</w:t>
      </w:r>
      <w:r>
        <w:rPr>
          <w:sz w:val="26"/>
          <w:szCs w:val="26"/>
          <w:lang w:val="be-BY"/>
        </w:rPr>
        <w:t xml:space="preserve">  ноября  2021 г.                  </w:t>
      </w:r>
      <w:r>
        <w:rPr>
          <w:sz w:val="26"/>
          <w:szCs w:val="26"/>
          <w:lang w:val="be-BY"/>
        </w:rPr>
        <w:t>894</w:t>
      </w:r>
    </w:p>
    <w:p w:rsidR="00584064" w:rsidRDefault="00584064" w:rsidP="00584064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84064" w:rsidRPr="00584064" w:rsidRDefault="00584064">
      <w:pPr>
        <w:rPr>
          <w:sz w:val="30"/>
          <w:szCs w:val="30"/>
        </w:rPr>
      </w:pPr>
    </w:p>
    <w:p w:rsidR="00584064" w:rsidRDefault="00584064" w:rsidP="00584064">
      <w:pPr>
        <w:pStyle w:val="titlencpi"/>
        <w:spacing w:before="0" w:after="0" w:line="280" w:lineRule="exact"/>
        <w:ind w:right="5245"/>
        <w:jc w:val="both"/>
        <w:rPr>
          <w:b w:val="0"/>
          <w:sz w:val="30"/>
          <w:szCs w:val="30"/>
        </w:rPr>
      </w:pPr>
      <w:r w:rsidRPr="00584064">
        <w:rPr>
          <w:b w:val="0"/>
          <w:sz w:val="30"/>
          <w:szCs w:val="30"/>
        </w:rPr>
        <w:t>О размещении (распространении) наружной рекламы и ее средств на территории Шумилинского района</w:t>
      </w:r>
    </w:p>
    <w:p w:rsidR="00584064" w:rsidRPr="00584064" w:rsidRDefault="00584064" w:rsidP="00584064">
      <w:pPr>
        <w:pStyle w:val="titlencpi"/>
        <w:spacing w:before="0" w:after="0"/>
        <w:ind w:right="0"/>
        <w:rPr>
          <w:b w:val="0"/>
          <w:sz w:val="30"/>
          <w:szCs w:val="30"/>
        </w:rPr>
      </w:pPr>
    </w:p>
    <w:p w:rsidR="00584064" w:rsidRPr="00584064" w:rsidRDefault="00584064" w:rsidP="00584064">
      <w:pPr>
        <w:pStyle w:val="preamble"/>
        <w:rPr>
          <w:sz w:val="30"/>
          <w:szCs w:val="30"/>
        </w:rPr>
      </w:pPr>
      <w:r w:rsidRPr="00584064">
        <w:rPr>
          <w:sz w:val="30"/>
          <w:szCs w:val="30"/>
        </w:rPr>
        <w:t>На основании части девятой приложения 3 к постановлению Совета Министров Республики Беларусь от 7 июля 2021 г. № 395 «О мерах по реализации Закона Республики Беларусь «Об изменении законов по вопросам рекламы», части первой пункта 5 и части пятой пункта 13 Положения о порядке выдачи, продления действия, переоформления и прекращения действия разрешения на размещение средства наружной рекламы, утвержденного постановлением Совета Министров Республики Беларусь от 7 июля 2021 г. № 395, пункта 7 Положения о порядке согласования содержания наружной рекламы и рекламы на транспортном средстве, утвержденного постановлением Совета Министров Республики Беларусь от 6 октября 2021 г. № 561, Шумилинский районный исполнительный комитет РЕШИЛ: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1. Уполномочить:</w:t>
      </w:r>
    </w:p>
    <w:p w:rsidR="00584064" w:rsidRPr="00584064" w:rsidRDefault="00584064" w:rsidP="00584064">
      <w:pPr>
        <w:pStyle w:val="underpoint"/>
        <w:rPr>
          <w:sz w:val="30"/>
          <w:szCs w:val="30"/>
        </w:rPr>
      </w:pPr>
      <w:r w:rsidRPr="00584064">
        <w:rPr>
          <w:sz w:val="30"/>
          <w:szCs w:val="30"/>
        </w:rPr>
        <w:t>1.1. отдел архитектуры и строительства, жилищно-коммунального хозяйства Шумилинского районного исполнительного комитета (далее – райисполком) на: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оформление (переоформление) паспортов средств наружной рекламы, их согласование;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согласование наружной рекламы, рекламы на транспортных средствах;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разработку и согласование проекта привязки средства наружной рекламы к участку местности;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оформление договоров на размещение (распространение) наружной рекламы и их учет;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оформление продления действия разрешений на размещение средства наружной рекламы;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 xml:space="preserve">оформление предписаний на демонтаж (удаление) средств наружной рекламы (наружной рекламы, размещенной и (или) распространенной на техническом средстве, специально не предназначенном, но </w:t>
      </w:r>
      <w:r w:rsidRPr="00584064">
        <w:rPr>
          <w:sz w:val="30"/>
          <w:szCs w:val="30"/>
        </w:rPr>
        <w:lastRenderedPageBreak/>
        <w:t>используемом для ее размещения и (или) распространения), рекламы на транспортных средствах;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ведение учета средств наружной рекламы;</w:t>
      </w:r>
    </w:p>
    <w:p w:rsidR="00584064" w:rsidRPr="00584064" w:rsidRDefault="00584064" w:rsidP="00584064">
      <w:pPr>
        <w:pStyle w:val="underpoint"/>
        <w:rPr>
          <w:sz w:val="30"/>
          <w:szCs w:val="30"/>
        </w:rPr>
      </w:pPr>
      <w:r w:rsidRPr="00584064">
        <w:rPr>
          <w:sz w:val="30"/>
          <w:szCs w:val="30"/>
        </w:rPr>
        <w:t>1.2. унитарное предприятие жилищно-коммунального хозяйства Шумилинского района на: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монтаж социальной рекламы по заявкам отдела идеологической работы, культуры и по делам молодежи райисполкома;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демонтаж (удаление) средств наружной рекламы (наружной рекламы, размещенной и (или) распространенной на техническом средстве, специально не предназначенном, но используемом для ее размещения и (или) распространения), рекламы на транспортных средствах.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2. Установить категории территорий Шумилинского района для использования их в целях определения размера платы за размещение (распространение) наружной рекламы согласно приложению 1.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3. Установить, что если место размещения средства наружной рекламы находится в собственности Шумилинского района, плата за размещение (распространение) наружной рекламы рассчитывается по следующей формуле: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 </w:t>
      </w:r>
    </w:p>
    <w:p w:rsidR="00584064" w:rsidRPr="00584064" w:rsidRDefault="00584064" w:rsidP="00584064">
      <w:pPr>
        <w:pStyle w:val="newncpi0"/>
        <w:jc w:val="center"/>
        <w:rPr>
          <w:sz w:val="30"/>
          <w:szCs w:val="30"/>
        </w:rPr>
      </w:pPr>
      <w:r w:rsidRPr="00584064">
        <w:rPr>
          <w:i/>
          <w:iCs/>
          <w:sz w:val="30"/>
          <w:szCs w:val="30"/>
        </w:rPr>
        <w:t>n</w:t>
      </w:r>
      <w:r w:rsidRPr="00584064">
        <w:rPr>
          <w:sz w:val="30"/>
          <w:szCs w:val="30"/>
        </w:rPr>
        <w:t xml:space="preserve"> = БС x </w:t>
      </w:r>
      <w:r w:rsidRPr="00584064">
        <w:rPr>
          <w:i/>
          <w:iCs/>
          <w:sz w:val="30"/>
          <w:szCs w:val="30"/>
        </w:rPr>
        <w:t>S</w:t>
      </w:r>
      <w:r w:rsidRPr="00584064">
        <w:rPr>
          <w:sz w:val="30"/>
          <w:szCs w:val="30"/>
        </w:rPr>
        <w:t xml:space="preserve"> x </w:t>
      </w:r>
      <w:r w:rsidRPr="00584064">
        <w:rPr>
          <w:i/>
          <w:iCs/>
          <w:sz w:val="30"/>
          <w:szCs w:val="30"/>
        </w:rPr>
        <w:t>T</w:t>
      </w:r>
      <w:r w:rsidRPr="00584064">
        <w:rPr>
          <w:sz w:val="30"/>
          <w:szCs w:val="30"/>
        </w:rPr>
        <w:t xml:space="preserve"> x </w:t>
      </w:r>
      <w:r w:rsidRPr="00584064">
        <w:rPr>
          <w:i/>
          <w:iCs/>
          <w:sz w:val="30"/>
          <w:szCs w:val="30"/>
        </w:rPr>
        <w:t>К</w:t>
      </w:r>
      <w:r w:rsidRPr="00584064">
        <w:rPr>
          <w:sz w:val="30"/>
          <w:szCs w:val="30"/>
        </w:rPr>
        <w:t>,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 </w:t>
      </w:r>
    </w:p>
    <w:p w:rsidR="00584064" w:rsidRPr="00584064" w:rsidRDefault="00584064" w:rsidP="00584064">
      <w:pPr>
        <w:pStyle w:val="newncpi0"/>
        <w:rPr>
          <w:sz w:val="30"/>
          <w:szCs w:val="30"/>
        </w:rPr>
      </w:pPr>
      <w:r w:rsidRPr="00584064">
        <w:rPr>
          <w:sz w:val="30"/>
          <w:szCs w:val="30"/>
        </w:rPr>
        <w:t>где    БС – базовая ставка;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i/>
          <w:iCs/>
          <w:sz w:val="30"/>
          <w:szCs w:val="30"/>
        </w:rPr>
        <w:t>S</w:t>
      </w:r>
      <w:r w:rsidRPr="00584064">
        <w:rPr>
          <w:sz w:val="30"/>
          <w:szCs w:val="30"/>
        </w:rPr>
        <w:t> – площадь рекламного поля;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i/>
          <w:iCs/>
          <w:sz w:val="30"/>
          <w:szCs w:val="30"/>
        </w:rPr>
        <w:t>Т</w:t>
      </w:r>
      <w:r w:rsidRPr="00584064">
        <w:rPr>
          <w:sz w:val="30"/>
          <w:szCs w:val="30"/>
        </w:rPr>
        <w:t> – срок размещения средства наружной рекламы;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i/>
          <w:iCs/>
          <w:sz w:val="30"/>
          <w:szCs w:val="30"/>
        </w:rPr>
        <w:t>К</w:t>
      </w:r>
      <w:r w:rsidRPr="00584064">
        <w:rPr>
          <w:sz w:val="30"/>
          <w:szCs w:val="30"/>
        </w:rPr>
        <w:t> – понижающий коэффициент (понижающие коэффициенты), подлежащий применению.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Размер базовой ставки (БС) составляет: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1 базовую величину за один квадратный метр рекламного поля в месяц – при размещении средств наружной рекламы, площадь рекламных полей которых измеряется в квадратных метрах;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25 базовых величин за одно средство наружной рекламы в месяц – при размещении следующих средств наружной рекламы: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объемно-пространственных рекламных конструкций;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растяжек;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зонтов, навесов, тентов;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павильонов;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воздушных шаров, дирижаблей;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образцов товаров (результатов работ) и (или) призов в рекламных целях вне зданий (сооружений) и вне витрин;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вертолетов, строительных кранов и иных видов техники с рекламой.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lastRenderedPageBreak/>
        <w:t>Для случаев, указанных в абзацах третьем–десятом части второй настоящего пункта, площадь рекламного поля (</w:t>
      </w:r>
      <w:r w:rsidRPr="00584064">
        <w:rPr>
          <w:i/>
          <w:iCs/>
          <w:sz w:val="30"/>
          <w:szCs w:val="30"/>
        </w:rPr>
        <w:t>S</w:t>
      </w:r>
      <w:r w:rsidRPr="00584064">
        <w:rPr>
          <w:sz w:val="30"/>
          <w:szCs w:val="30"/>
        </w:rPr>
        <w:t>) равна единице.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При наличии оснований для применения нескольких понижающих коэффициентов применяются все соответствующие понижающие коэффициенты путем их перемножения.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Если место размещения средства наружной рекламы находится в республиканской или частной собственности, плата за предоставление права на использование городской среды (среды населенного пункта или иных территорий) в рекламных целях рассчитывается по формуле, указанной в части первой настоящего пункта, с применением к результату понижающего коэффициента 0,5.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4. Установить перечень коэффициентов, применяемых при расчете платы за размещение (распространение) наружной рекламы, согласно приложению 2.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5. Действие пункта 4 настоящего решения не распространяется на следующие средства наружной рекламы: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плакатницы;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кронштейны;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пилоны;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указатели.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6. Установить, что плата не взимается при размещении (распространении):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социальной рекламы;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рекламы мероприятий в сфере культуры, физической культуры и спорта, в число организаторов которых входят государственные органы, или информации о государственных праздниках, праздничных днях, памятных датах;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рекламы, размещаемой государственной рекламной организацией, предоставляющей собственную сеть средств наружной рекламы для размещения рекламы третьих лиц (выполняющей функции государственного оператора наружной рекламы), имущество которой находится в собственности Шумилинского района;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рекламы организаций, являющихся средствами массовой информации, учредителями которых является райисполком;</w:t>
      </w:r>
    </w:p>
    <w:p w:rsidR="00584064" w:rsidRPr="00584064" w:rsidRDefault="00584064" w:rsidP="00584064">
      <w:pPr>
        <w:pStyle w:val="newncpi"/>
        <w:rPr>
          <w:sz w:val="30"/>
          <w:szCs w:val="30"/>
        </w:rPr>
      </w:pPr>
      <w:r w:rsidRPr="00584064">
        <w:rPr>
          <w:sz w:val="30"/>
          <w:szCs w:val="30"/>
        </w:rPr>
        <w:t>рекламной информации организаций, финансируемых из бюджета (бюджетных организаций).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7. Признать утратившим силу решение Шумилинского районного исполнительного комитета от 29 августа 2013 г. № 607 «О размещении (распространении) наружной рекламы и ее средств, рекламы на транспортных средствах на территории Шумилинского района».</w:t>
      </w:r>
    </w:p>
    <w:p w:rsidR="00584064" w:rsidRP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lastRenderedPageBreak/>
        <w:t>8. Контроль за выполнением настоящего решения возложить на отдел архитектуры и строительства, жилищно-коммунального хозяйства райисполкома и финансовый отдел райисполкома.</w:t>
      </w:r>
    </w:p>
    <w:p w:rsidR="00584064" w:rsidRDefault="00584064" w:rsidP="00584064">
      <w:pPr>
        <w:pStyle w:val="point"/>
        <w:rPr>
          <w:sz w:val="30"/>
          <w:szCs w:val="30"/>
        </w:rPr>
      </w:pPr>
      <w:r w:rsidRPr="00584064">
        <w:rPr>
          <w:sz w:val="30"/>
          <w:szCs w:val="30"/>
        </w:rPr>
        <w:t>9. Настоящее решение вступает в силу после его официального опубликования.</w:t>
      </w:r>
    </w:p>
    <w:p w:rsidR="00584064" w:rsidRDefault="00584064" w:rsidP="00584064">
      <w:pPr>
        <w:pStyle w:val="point"/>
        <w:spacing w:line="360" w:lineRule="auto"/>
        <w:ind w:firstLine="0"/>
        <w:rPr>
          <w:sz w:val="30"/>
          <w:szCs w:val="30"/>
        </w:rPr>
      </w:pPr>
    </w:p>
    <w:p w:rsidR="00584064" w:rsidRPr="00122FEA" w:rsidRDefault="00584064" w:rsidP="00584064">
      <w:pPr>
        <w:widowControl w:val="0"/>
        <w:suppressAutoHyphens/>
        <w:autoSpaceDE w:val="0"/>
        <w:autoSpaceDN w:val="0"/>
        <w:adjustRightInd w:val="0"/>
        <w:spacing w:line="280" w:lineRule="exact"/>
        <w:jc w:val="both"/>
        <w:rPr>
          <w:rFonts w:eastAsia="SimSun"/>
          <w:color w:val="00000A"/>
          <w:kern w:val="2"/>
          <w:sz w:val="30"/>
          <w:szCs w:val="30"/>
          <w:lang w:eastAsia="zh-CN" w:bidi="hi-IN"/>
        </w:rPr>
      </w:pP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>Председатель</w:t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  <w:t xml:space="preserve">                      </w:t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  <w:t>В.С.Гуторов</w:t>
      </w:r>
    </w:p>
    <w:p w:rsidR="00584064" w:rsidRPr="00122FEA" w:rsidRDefault="00584064" w:rsidP="00584064">
      <w:pPr>
        <w:widowControl w:val="0"/>
        <w:suppressAutoHyphens/>
        <w:autoSpaceDE w:val="0"/>
        <w:autoSpaceDN w:val="0"/>
        <w:adjustRightInd w:val="0"/>
        <w:jc w:val="both"/>
        <w:rPr>
          <w:rFonts w:eastAsia="SimSun"/>
          <w:color w:val="00000A"/>
          <w:kern w:val="2"/>
          <w:sz w:val="30"/>
          <w:szCs w:val="30"/>
          <w:lang w:eastAsia="zh-CN" w:bidi="hi-IN"/>
        </w:rPr>
      </w:pPr>
    </w:p>
    <w:p w:rsidR="00584064" w:rsidRPr="00122FEA" w:rsidRDefault="00584064" w:rsidP="00584064">
      <w:pPr>
        <w:widowControl w:val="0"/>
        <w:suppressAutoHyphens/>
        <w:autoSpaceDE w:val="0"/>
        <w:autoSpaceDN w:val="0"/>
        <w:adjustRightInd w:val="0"/>
        <w:spacing w:line="280" w:lineRule="exact"/>
        <w:jc w:val="both"/>
        <w:rPr>
          <w:rFonts w:eastAsia="SimSun"/>
          <w:color w:val="00000A"/>
          <w:kern w:val="2"/>
          <w:sz w:val="30"/>
          <w:szCs w:val="30"/>
          <w:lang w:eastAsia="zh-CN" w:bidi="hi-IN"/>
        </w:rPr>
      </w:pP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 xml:space="preserve">Управляющий делами – </w:t>
      </w:r>
    </w:p>
    <w:p w:rsidR="00584064" w:rsidRDefault="00584064" w:rsidP="00584064">
      <w:pPr>
        <w:widowControl w:val="0"/>
        <w:suppressAutoHyphens/>
        <w:autoSpaceDE w:val="0"/>
        <w:autoSpaceDN w:val="0"/>
        <w:adjustRightInd w:val="0"/>
        <w:spacing w:line="280" w:lineRule="exact"/>
        <w:jc w:val="both"/>
        <w:rPr>
          <w:rFonts w:eastAsia="SimSun"/>
          <w:color w:val="00000A"/>
          <w:kern w:val="2"/>
          <w:sz w:val="30"/>
          <w:szCs w:val="30"/>
          <w:lang w:eastAsia="zh-CN" w:bidi="hi-IN"/>
        </w:rPr>
      </w:pP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>начальник управления делами</w:t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</w:r>
      <w:r w:rsidRPr="00122FEA">
        <w:rPr>
          <w:rFonts w:eastAsia="SimSun"/>
          <w:color w:val="00000A"/>
          <w:kern w:val="2"/>
          <w:sz w:val="30"/>
          <w:szCs w:val="30"/>
          <w:lang w:eastAsia="zh-CN" w:bidi="hi-IN"/>
        </w:rPr>
        <w:tab/>
        <w:t>С.Д.Белоголов</w:t>
      </w:r>
    </w:p>
    <w:p w:rsidR="00584064" w:rsidRPr="00584064" w:rsidRDefault="00584064" w:rsidP="00584064">
      <w:pPr>
        <w:pStyle w:val="point"/>
        <w:ind w:firstLine="0"/>
        <w:rPr>
          <w:sz w:val="30"/>
          <w:szCs w:val="30"/>
        </w:rPr>
      </w:pPr>
    </w:p>
    <w:p w:rsidR="00584064" w:rsidRDefault="00584064" w:rsidP="00584064">
      <w:pPr>
        <w:pStyle w:val="newncpi"/>
      </w:pPr>
      <w:r>
        <w:t> </w:t>
      </w:r>
    </w:p>
    <w:p w:rsidR="00584064" w:rsidRDefault="00584064" w:rsidP="00584064">
      <w:pPr>
        <w:pStyle w:val="newncpi0"/>
      </w:pPr>
      <w:r>
        <w:t> </w:t>
      </w: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p w:rsidR="00584064" w:rsidRDefault="00584064" w:rsidP="00584064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84"/>
      </w:tblGrid>
      <w:tr w:rsidR="00584064" w:rsidTr="00584064">
        <w:tc>
          <w:tcPr>
            <w:tcW w:w="30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Default="00584064">
            <w:pPr>
              <w:pStyle w:val="newncpi"/>
            </w:pPr>
            <w:r>
              <w:t> </w:t>
            </w:r>
          </w:p>
        </w:tc>
        <w:tc>
          <w:tcPr>
            <w:tcW w:w="19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append1"/>
              <w:rPr>
                <w:sz w:val="30"/>
                <w:szCs w:val="30"/>
              </w:rPr>
            </w:pPr>
            <w:r w:rsidRPr="00584064">
              <w:rPr>
                <w:sz w:val="30"/>
                <w:szCs w:val="30"/>
              </w:rPr>
              <w:t>Приложение 1</w:t>
            </w:r>
          </w:p>
          <w:p w:rsidR="00584064" w:rsidRDefault="00584064" w:rsidP="00584064">
            <w:pPr>
              <w:pStyle w:val="append"/>
              <w:spacing w:line="280" w:lineRule="exact"/>
            </w:pPr>
            <w:r w:rsidRPr="00584064">
              <w:rPr>
                <w:sz w:val="30"/>
                <w:szCs w:val="30"/>
              </w:rPr>
              <w:t>к решению</w:t>
            </w:r>
            <w:r w:rsidRPr="00584064">
              <w:rPr>
                <w:sz w:val="30"/>
                <w:szCs w:val="30"/>
              </w:rPr>
              <w:br/>
              <w:t>Шумилинского районного</w:t>
            </w:r>
            <w:r w:rsidRPr="00584064">
              <w:rPr>
                <w:sz w:val="30"/>
                <w:szCs w:val="30"/>
              </w:rPr>
              <w:br/>
              <w:t>исполнительного комитета</w:t>
            </w:r>
            <w:r w:rsidRPr="00584064">
              <w:rPr>
                <w:sz w:val="30"/>
                <w:szCs w:val="30"/>
              </w:rPr>
              <w:br/>
              <w:t>22.11.2021 № 894</w:t>
            </w:r>
            <w:r>
              <w:t xml:space="preserve"> </w:t>
            </w:r>
          </w:p>
        </w:tc>
      </w:tr>
    </w:tbl>
    <w:p w:rsid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584064">
        <w:rPr>
          <w:b w:val="0"/>
          <w:sz w:val="30"/>
          <w:szCs w:val="30"/>
        </w:rPr>
        <w:t>КАТЕГОРИИ</w:t>
      </w:r>
      <w:r w:rsidRPr="00584064">
        <w:rPr>
          <w:b w:val="0"/>
          <w:sz w:val="30"/>
          <w:szCs w:val="30"/>
        </w:rPr>
        <w:br/>
        <w:t>территорий Шумилинского района для использования их в целях определения размера платы за размещение (распространение) наружной рекламы</w:t>
      </w:r>
    </w:p>
    <w:p w:rsidR="00584064" w:rsidRP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0"/>
        <w:gridCol w:w="7148"/>
      </w:tblGrid>
      <w:tr w:rsidR="00584064" w:rsidRPr="00584064" w:rsidTr="00584064">
        <w:trPr>
          <w:trHeight w:val="240"/>
        </w:trPr>
        <w:tc>
          <w:tcPr>
            <w:tcW w:w="128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Категория территорий</w:t>
            </w:r>
          </w:p>
        </w:tc>
        <w:tc>
          <w:tcPr>
            <w:tcW w:w="37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Перечень территорий</w:t>
            </w:r>
          </w:p>
        </w:tc>
      </w:tr>
      <w:tr w:rsidR="00584064" w:rsidRPr="00584064" w:rsidTr="00584064">
        <w:trPr>
          <w:trHeight w:val="240"/>
        </w:trPr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Высшая категория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Улицы городского поселка Шумилино: Юбилейная, 70 лет БССР, Сипко;</w:t>
            </w:r>
            <w:r w:rsidRPr="00584064">
              <w:rPr>
                <w:sz w:val="26"/>
                <w:szCs w:val="26"/>
              </w:rPr>
              <w:br/>
              <w:t>Автомобильная дорога Р-20 Витебск–Полоцк–Латвийская Республика (Григоровщина)</w:t>
            </w:r>
          </w:p>
        </w:tc>
      </w:tr>
      <w:tr w:rsidR="00584064" w:rsidRPr="00584064" w:rsidTr="00584064">
        <w:trPr>
          <w:trHeight w:val="240"/>
        </w:trPr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Первая категория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Улицы городского поселка Шумилино: Луначарского, Ленинская, Короткина;</w:t>
            </w:r>
            <w:r w:rsidRPr="00584064">
              <w:rPr>
                <w:sz w:val="26"/>
                <w:szCs w:val="26"/>
              </w:rPr>
              <w:br/>
              <w:t>Улица Вышелесского городского поселка Оболь</w:t>
            </w:r>
          </w:p>
        </w:tc>
      </w:tr>
      <w:tr w:rsidR="00584064" w:rsidRPr="00584064" w:rsidTr="00584064">
        <w:trPr>
          <w:trHeight w:val="240"/>
        </w:trPr>
        <w:tc>
          <w:tcPr>
            <w:tcW w:w="128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Вторая категория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Территории, не вошедшие в высшую и первую категории</w:t>
            </w:r>
          </w:p>
        </w:tc>
      </w:tr>
    </w:tbl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jc w:val="left"/>
      </w:pPr>
    </w:p>
    <w:p w:rsidR="00584064" w:rsidRDefault="00584064" w:rsidP="00584064">
      <w:pPr>
        <w:pStyle w:val="titlep"/>
        <w:spacing w:before="0" w:after="0"/>
        <w:jc w:val="left"/>
        <w:rPr>
          <w:b w:val="0"/>
          <w:sz w:val="30"/>
          <w:szCs w:val="30"/>
        </w:rPr>
      </w:pPr>
      <w:bookmarkStart w:id="0" w:name="_GoBack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4064">
        <w:rPr>
          <w:b w:val="0"/>
          <w:sz w:val="30"/>
          <w:szCs w:val="30"/>
        </w:rPr>
        <w:t>Приложение</w:t>
      </w:r>
      <w:r>
        <w:rPr>
          <w:b w:val="0"/>
          <w:sz w:val="30"/>
          <w:szCs w:val="30"/>
        </w:rPr>
        <w:t xml:space="preserve"> 2</w:t>
      </w:r>
    </w:p>
    <w:p w:rsid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  <w:t>к решению</w:t>
      </w:r>
    </w:p>
    <w:p w:rsid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  <w:t>Шумилинского районного</w:t>
      </w:r>
    </w:p>
    <w:p w:rsid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  <w:t>исполнительного комитета</w:t>
      </w:r>
    </w:p>
    <w:p w:rsidR="00584064" w:rsidRP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</w:r>
      <w:r>
        <w:rPr>
          <w:b w:val="0"/>
          <w:sz w:val="30"/>
          <w:szCs w:val="30"/>
        </w:rPr>
        <w:tab/>
        <w:t>22.11.2021 № 894</w:t>
      </w:r>
    </w:p>
    <w:p w:rsid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584064">
        <w:rPr>
          <w:b w:val="0"/>
          <w:sz w:val="30"/>
          <w:szCs w:val="30"/>
        </w:rPr>
        <w:t>ПЕРЕЧЕНЬ</w:t>
      </w:r>
      <w:r w:rsidRPr="00584064">
        <w:rPr>
          <w:b w:val="0"/>
          <w:sz w:val="30"/>
          <w:szCs w:val="30"/>
        </w:rPr>
        <w:br/>
        <w:t>коэффициентов, применяемых при расчете платы за размещение (распространение) наружной рекламы</w:t>
      </w:r>
    </w:p>
    <w:p w:rsidR="00584064" w:rsidRPr="00584064" w:rsidRDefault="00584064" w:rsidP="00584064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876"/>
        <w:gridCol w:w="8024"/>
      </w:tblGrid>
      <w:tr w:rsidR="00584064" w:rsidRPr="00584064" w:rsidTr="00584064">
        <w:trPr>
          <w:trHeight w:val="240"/>
        </w:trPr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Размер</w:t>
            </w:r>
          </w:p>
        </w:tc>
        <w:tc>
          <w:tcPr>
            <w:tcW w:w="41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Основания применения</w:t>
            </w:r>
          </w:p>
        </w:tc>
      </w:tr>
      <w:tr w:rsidR="00584064" w:rsidRPr="00584064" w:rsidTr="00584064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i/>
                <w:iCs/>
                <w:sz w:val="26"/>
                <w:szCs w:val="26"/>
              </w:rPr>
              <w:t>К</w:t>
            </w:r>
            <w:r w:rsidRPr="00584064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0,8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Понижающий коэффициент, применяемый при размещении (распространении) средств наружной рекламы на территории:</w:t>
            </w:r>
            <w:r w:rsidRPr="00584064">
              <w:rPr>
                <w:sz w:val="26"/>
                <w:szCs w:val="26"/>
              </w:rPr>
              <w:br/>
              <w:t>сельских населенных пунктов;</w:t>
            </w:r>
            <w:r w:rsidRPr="00584064">
              <w:rPr>
                <w:sz w:val="26"/>
                <w:szCs w:val="26"/>
              </w:rPr>
              <w:br/>
              <w:t>высшей и первой категории</w:t>
            </w:r>
          </w:p>
        </w:tc>
      </w:tr>
      <w:tr w:rsidR="00584064" w:rsidRPr="00584064" w:rsidTr="00584064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i/>
                <w:iCs/>
                <w:sz w:val="26"/>
                <w:szCs w:val="26"/>
              </w:rPr>
              <w:t>К</w:t>
            </w:r>
            <w:r w:rsidRPr="0058406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0,5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Понижающий коэффициент, применяемый при размещении (распространении) средств наружной рекламы на территории второй категории</w:t>
            </w:r>
          </w:p>
        </w:tc>
      </w:tr>
      <w:tr w:rsidR="00584064" w:rsidRPr="00584064" w:rsidTr="00584064">
        <w:trPr>
          <w:trHeight w:val="240"/>
        </w:trPr>
        <w:tc>
          <w:tcPr>
            <w:tcW w:w="37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i/>
                <w:iCs/>
                <w:sz w:val="26"/>
                <w:szCs w:val="26"/>
              </w:rPr>
              <w:t>К</w:t>
            </w:r>
            <w:r w:rsidRPr="00584064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br/>
              <w:t>0,7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Понижающий коэффициент, учитывающий площадь рекламного поля:</w:t>
            </w:r>
            <w:r w:rsidRPr="00584064">
              <w:rPr>
                <w:sz w:val="26"/>
                <w:szCs w:val="26"/>
              </w:rPr>
              <w:br/>
              <w:t>при площади рекламного поля от 30 квадратных метров (включительно) до 100 квадратных метров</w:t>
            </w:r>
          </w:p>
        </w:tc>
      </w:tr>
      <w:tr w:rsidR="00584064" w:rsidRPr="00584064" w:rsidTr="0058406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064" w:rsidRPr="00584064" w:rsidRDefault="00584064">
            <w:pPr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0,5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 xml:space="preserve">при площади рекламного поля свыше 100 квадратных метров (включительно) </w:t>
            </w:r>
          </w:p>
        </w:tc>
      </w:tr>
      <w:tr w:rsidR="00584064" w:rsidRPr="00584064" w:rsidTr="00584064">
        <w:trPr>
          <w:trHeight w:val="240"/>
        </w:trPr>
        <w:tc>
          <w:tcPr>
            <w:tcW w:w="3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i/>
                <w:iCs/>
                <w:sz w:val="26"/>
                <w:szCs w:val="26"/>
              </w:rPr>
              <w:t>К</w:t>
            </w:r>
            <w:r w:rsidRPr="00584064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jc w:val="center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0,5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4064" w:rsidRPr="00584064" w:rsidRDefault="00584064">
            <w:pPr>
              <w:pStyle w:val="table10"/>
              <w:rPr>
                <w:sz w:val="26"/>
                <w:szCs w:val="26"/>
              </w:rPr>
            </w:pPr>
            <w:r w:rsidRPr="00584064">
              <w:rPr>
                <w:sz w:val="26"/>
                <w:szCs w:val="26"/>
              </w:rPr>
              <w:t>Понижающий коэффициент, применяемый при размещении (распространении) средств наружной рекламы индивидуальными предпринимателями</w:t>
            </w:r>
          </w:p>
        </w:tc>
      </w:tr>
    </w:tbl>
    <w:p w:rsidR="00584064" w:rsidRDefault="00584064" w:rsidP="00584064">
      <w:pPr>
        <w:pStyle w:val="newncpi"/>
      </w:pPr>
      <w:r>
        <w:t> </w:t>
      </w:r>
    </w:p>
    <w:p w:rsidR="00584064" w:rsidRDefault="00584064" w:rsidP="00584064">
      <w:pPr>
        <w:pStyle w:val="newncpi"/>
      </w:pPr>
      <w:r>
        <w:t> </w:t>
      </w:r>
    </w:p>
    <w:p w:rsidR="00584064" w:rsidRDefault="00584064"/>
    <w:sectPr w:rsidR="00584064" w:rsidSect="0058406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64" w:rsidRDefault="00584064" w:rsidP="00584064">
      <w:r>
        <w:separator/>
      </w:r>
    </w:p>
  </w:endnote>
  <w:endnote w:type="continuationSeparator" w:id="0">
    <w:p w:rsidR="00584064" w:rsidRDefault="00584064" w:rsidP="005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64" w:rsidRDefault="00584064" w:rsidP="00584064">
      <w:r>
        <w:separator/>
      </w:r>
    </w:p>
  </w:footnote>
  <w:footnote w:type="continuationSeparator" w:id="0">
    <w:p w:rsidR="00584064" w:rsidRDefault="00584064" w:rsidP="0058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913447"/>
      <w:docPartObj>
        <w:docPartGallery w:val="Page Numbers (Top of Page)"/>
        <w:docPartUnique/>
      </w:docPartObj>
    </w:sdtPr>
    <w:sdtContent>
      <w:p w:rsidR="00584064" w:rsidRDefault="005840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8FF">
          <w:rPr>
            <w:noProof/>
          </w:rPr>
          <w:t>6</w:t>
        </w:r>
        <w:r>
          <w:fldChar w:fldCharType="end"/>
        </w:r>
      </w:p>
    </w:sdtContent>
  </w:sdt>
  <w:p w:rsidR="00584064" w:rsidRDefault="00584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4"/>
    <w:rsid w:val="004008FF"/>
    <w:rsid w:val="00584064"/>
    <w:rsid w:val="00F8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8A4C"/>
  <w15:chartTrackingRefBased/>
  <w15:docId w15:val="{2FDEFB12-914F-49BB-B6D7-4F40CB3B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84064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584064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584064"/>
    <w:pPr>
      <w:ind w:firstLine="567"/>
      <w:jc w:val="both"/>
    </w:pPr>
  </w:style>
  <w:style w:type="paragraph" w:customStyle="1" w:styleId="underpoint">
    <w:name w:val="underpoint"/>
    <w:basedOn w:val="a"/>
    <w:rsid w:val="00584064"/>
    <w:pPr>
      <w:ind w:firstLine="567"/>
      <w:jc w:val="both"/>
    </w:pPr>
  </w:style>
  <w:style w:type="paragraph" w:customStyle="1" w:styleId="preamble">
    <w:name w:val="preamble"/>
    <w:basedOn w:val="a"/>
    <w:rsid w:val="00584064"/>
    <w:pPr>
      <w:ind w:firstLine="567"/>
      <w:jc w:val="both"/>
    </w:pPr>
  </w:style>
  <w:style w:type="paragraph" w:customStyle="1" w:styleId="table10">
    <w:name w:val="table10"/>
    <w:basedOn w:val="a"/>
    <w:rsid w:val="00584064"/>
    <w:rPr>
      <w:sz w:val="20"/>
      <w:szCs w:val="20"/>
    </w:rPr>
  </w:style>
  <w:style w:type="paragraph" w:customStyle="1" w:styleId="append">
    <w:name w:val="append"/>
    <w:basedOn w:val="a"/>
    <w:rsid w:val="00584064"/>
    <w:rPr>
      <w:sz w:val="22"/>
      <w:szCs w:val="22"/>
    </w:rPr>
  </w:style>
  <w:style w:type="paragraph" w:customStyle="1" w:styleId="append1">
    <w:name w:val="append1"/>
    <w:basedOn w:val="a"/>
    <w:rsid w:val="00584064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4064"/>
    <w:pPr>
      <w:ind w:firstLine="567"/>
      <w:jc w:val="both"/>
    </w:pPr>
  </w:style>
  <w:style w:type="paragraph" w:customStyle="1" w:styleId="newncpi0">
    <w:name w:val="newncpi0"/>
    <w:basedOn w:val="a"/>
    <w:rsid w:val="00584064"/>
    <w:pPr>
      <w:jc w:val="both"/>
    </w:pPr>
  </w:style>
  <w:style w:type="character" w:customStyle="1" w:styleId="post">
    <w:name w:val="post"/>
    <w:basedOn w:val="a0"/>
    <w:rsid w:val="005840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8406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840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40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0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2021-12-13T12:43:00Z</cp:lastPrinted>
  <dcterms:created xsi:type="dcterms:W3CDTF">2021-12-13T12:30:00Z</dcterms:created>
  <dcterms:modified xsi:type="dcterms:W3CDTF">2021-12-13T12:47:00Z</dcterms:modified>
</cp:coreProperties>
</file>